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90A82" w14:textId="77777777" w:rsidR="00186FB3" w:rsidRDefault="00186FB3" w:rsidP="00A25B18">
      <w:pPr>
        <w:rPr>
          <w:sz w:val="24"/>
        </w:rPr>
      </w:pPr>
    </w:p>
    <w:p w14:paraId="6A7508AC" w14:textId="77777777" w:rsidR="00186FB3" w:rsidRDefault="00186FB3" w:rsidP="00A25B18">
      <w:pPr>
        <w:rPr>
          <w:sz w:val="24"/>
        </w:rPr>
      </w:pPr>
    </w:p>
    <w:p w14:paraId="26DA9A75" w14:textId="77777777" w:rsidR="00186FB3" w:rsidRDefault="00186FB3" w:rsidP="00A25B18">
      <w:pPr>
        <w:rPr>
          <w:sz w:val="24"/>
        </w:rPr>
      </w:pPr>
    </w:p>
    <w:p w14:paraId="2B644A87" w14:textId="77777777" w:rsidR="00186FB3" w:rsidRPr="00F31354" w:rsidRDefault="00186FB3" w:rsidP="00186FB3">
      <w:pPr>
        <w:ind w:left="-1080" w:right="-720"/>
        <w:rPr>
          <w:b/>
          <w:szCs w:val="19"/>
        </w:rPr>
      </w:pPr>
      <w:r w:rsidRPr="00F31354">
        <w:rPr>
          <w:b/>
          <w:szCs w:val="19"/>
        </w:rPr>
        <w:t>MEMORANDUM</w:t>
      </w:r>
    </w:p>
    <w:p w14:paraId="418BF695" w14:textId="77777777" w:rsidR="00186FB3" w:rsidRPr="005C1C3F" w:rsidRDefault="00186FB3" w:rsidP="00186FB3">
      <w:pPr>
        <w:ind w:left="-1080" w:right="-720"/>
        <w:rPr>
          <w:szCs w:val="19"/>
        </w:rPr>
      </w:pPr>
    </w:p>
    <w:p w14:paraId="317F8E4B" w14:textId="77777777" w:rsidR="00186FB3" w:rsidRPr="005C1C3F" w:rsidRDefault="00186FB3" w:rsidP="00186FB3">
      <w:pPr>
        <w:ind w:left="-1080" w:right="-720"/>
        <w:rPr>
          <w:szCs w:val="19"/>
        </w:rPr>
      </w:pPr>
      <w:r w:rsidRPr="005C1C3F">
        <w:rPr>
          <w:szCs w:val="19"/>
        </w:rPr>
        <w:t>TO:</w:t>
      </w:r>
      <w:r w:rsidR="005C1C3F" w:rsidRPr="005C1C3F">
        <w:rPr>
          <w:szCs w:val="19"/>
        </w:rPr>
        <w:tab/>
      </w:r>
      <w:r w:rsidR="00F31354">
        <w:rPr>
          <w:szCs w:val="19"/>
        </w:rPr>
        <w:tab/>
        <w:t xml:space="preserve"> </w:t>
      </w:r>
      <w:r w:rsidR="00F31354">
        <w:rPr>
          <w:szCs w:val="19"/>
        </w:rPr>
        <w:tab/>
      </w:r>
      <w:r w:rsidR="005C1C3F" w:rsidRPr="005C1C3F">
        <w:rPr>
          <w:szCs w:val="19"/>
        </w:rPr>
        <w:t>Deans, Directors, and Department Heads</w:t>
      </w:r>
    </w:p>
    <w:p w14:paraId="058296C3" w14:textId="77777777" w:rsidR="00186FB3" w:rsidRPr="005C1C3F" w:rsidRDefault="00186FB3" w:rsidP="00186FB3">
      <w:pPr>
        <w:ind w:left="-1080" w:right="-720"/>
        <w:rPr>
          <w:szCs w:val="19"/>
        </w:rPr>
      </w:pPr>
    </w:p>
    <w:p w14:paraId="7DDE5D33" w14:textId="77777777" w:rsidR="00186FB3" w:rsidRPr="005C1C3F" w:rsidRDefault="00186FB3" w:rsidP="00186FB3">
      <w:pPr>
        <w:ind w:left="-1080" w:right="-720"/>
        <w:rPr>
          <w:szCs w:val="19"/>
        </w:rPr>
      </w:pPr>
      <w:r w:rsidRPr="005C1C3F">
        <w:rPr>
          <w:szCs w:val="19"/>
        </w:rPr>
        <w:t xml:space="preserve">FROM: </w:t>
      </w:r>
      <w:r w:rsidR="00FB789E" w:rsidRPr="005C1C3F">
        <w:rPr>
          <w:szCs w:val="19"/>
        </w:rPr>
        <w:tab/>
      </w:r>
      <w:r w:rsidR="005C1C3F" w:rsidRPr="005C1C3F">
        <w:rPr>
          <w:szCs w:val="19"/>
        </w:rPr>
        <w:t>Warwick Arden, Executive Vice Chancellor</w:t>
      </w:r>
      <w:r w:rsidR="00B0759A">
        <w:rPr>
          <w:szCs w:val="19"/>
        </w:rPr>
        <w:t xml:space="preserve"> and Provost</w:t>
      </w:r>
    </w:p>
    <w:p w14:paraId="56AA6DBB" w14:textId="77777777" w:rsidR="005C1C3F" w:rsidRPr="005C1C3F" w:rsidRDefault="005C1C3F" w:rsidP="00186FB3">
      <w:pPr>
        <w:ind w:left="-1080" w:right="-720"/>
        <w:rPr>
          <w:szCs w:val="19"/>
        </w:rPr>
      </w:pPr>
      <w:r w:rsidRPr="005C1C3F">
        <w:rPr>
          <w:szCs w:val="19"/>
        </w:rPr>
        <w:tab/>
      </w:r>
      <w:r w:rsidRPr="005C1C3F">
        <w:rPr>
          <w:szCs w:val="19"/>
        </w:rPr>
        <w:tab/>
      </w:r>
      <w:r w:rsidRPr="005C1C3F">
        <w:rPr>
          <w:szCs w:val="19"/>
        </w:rPr>
        <w:tab/>
      </w:r>
      <w:r w:rsidRPr="005C1C3F">
        <w:rPr>
          <w:szCs w:val="19"/>
        </w:rPr>
        <w:tab/>
      </w:r>
      <w:r w:rsidRPr="005C1C3F">
        <w:rPr>
          <w:szCs w:val="19"/>
        </w:rPr>
        <w:tab/>
      </w:r>
      <w:r w:rsidRPr="005C1C3F">
        <w:rPr>
          <w:szCs w:val="19"/>
        </w:rPr>
        <w:tab/>
        <w:t xml:space="preserve"> </w:t>
      </w:r>
      <w:r w:rsidRPr="005C1C3F">
        <w:rPr>
          <w:szCs w:val="19"/>
        </w:rPr>
        <w:tab/>
        <w:t>Scott R. Douglass, Vice Chancellor, Finance and Administration</w:t>
      </w:r>
    </w:p>
    <w:p w14:paraId="634070AE" w14:textId="77777777" w:rsidR="00186FB3" w:rsidRPr="005C1C3F" w:rsidRDefault="00186FB3" w:rsidP="00186FB3">
      <w:pPr>
        <w:ind w:left="-1080" w:right="-720"/>
        <w:rPr>
          <w:szCs w:val="19"/>
        </w:rPr>
      </w:pPr>
    </w:p>
    <w:p w14:paraId="3A2FA392" w14:textId="77777777" w:rsidR="005C1C3F" w:rsidRDefault="005C1C3F" w:rsidP="00186FB3">
      <w:pPr>
        <w:ind w:left="-1080" w:right="-720"/>
        <w:rPr>
          <w:szCs w:val="19"/>
        </w:rPr>
      </w:pPr>
      <w:r>
        <w:rPr>
          <w:szCs w:val="19"/>
        </w:rPr>
        <w:t>SUBJECT:</w:t>
      </w:r>
      <w:r>
        <w:rPr>
          <w:szCs w:val="19"/>
        </w:rPr>
        <w:tab/>
        <w:t>Updates to the EHRA Salary Adjustment Pre-Authorization Guidelines</w:t>
      </w:r>
    </w:p>
    <w:p w14:paraId="50A2E224" w14:textId="77777777" w:rsidR="005C1C3F" w:rsidRDefault="005C1C3F" w:rsidP="00186FB3">
      <w:pPr>
        <w:ind w:left="-1080" w:right="-720"/>
        <w:rPr>
          <w:szCs w:val="19"/>
        </w:rPr>
      </w:pPr>
    </w:p>
    <w:p w14:paraId="13CA7192" w14:textId="690A2905" w:rsidR="00186FB3" w:rsidRPr="005C1C3F" w:rsidRDefault="00F31354" w:rsidP="00186FB3">
      <w:pPr>
        <w:ind w:left="-1080" w:right="-720"/>
        <w:rPr>
          <w:szCs w:val="19"/>
        </w:rPr>
      </w:pPr>
      <w:r>
        <w:rPr>
          <w:szCs w:val="19"/>
        </w:rPr>
        <w:t>DATE:</w:t>
      </w:r>
      <w:r>
        <w:rPr>
          <w:szCs w:val="19"/>
        </w:rPr>
        <w:tab/>
      </w:r>
      <w:r w:rsidR="00FB789E" w:rsidRPr="005C1C3F">
        <w:rPr>
          <w:szCs w:val="19"/>
        </w:rPr>
        <w:t xml:space="preserve">May </w:t>
      </w:r>
      <w:r w:rsidR="000D13B9">
        <w:rPr>
          <w:szCs w:val="19"/>
        </w:rPr>
        <w:t>13</w:t>
      </w:r>
      <w:r w:rsidR="00FB789E" w:rsidRPr="005C1C3F">
        <w:rPr>
          <w:szCs w:val="19"/>
        </w:rPr>
        <w:t>, 2016</w:t>
      </w:r>
    </w:p>
    <w:p w14:paraId="5873B67E" w14:textId="77777777" w:rsidR="00186FB3" w:rsidRPr="005C1C3F" w:rsidRDefault="00186FB3" w:rsidP="00186FB3">
      <w:pPr>
        <w:ind w:left="-1080" w:right="-720"/>
        <w:rPr>
          <w:szCs w:val="19"/>
        </w:rPr>
      </w:pPr>
    </w:p>
    <w:p w14:paraId="6A2CF269" w14:textId="77777777" w:rsidR="00A25B18" w:rsidRPr="005C1C3F" w:rsidRDefault="005C1C3F" w:rsidP="00186FB3">
      <w:pPr>
        <w:ind w:left="-1080" w:right="-720"/>
        <w:rPr>
          <w:szCs w:val="19"/>
        </w:rPr>
      </w:pPr>
      <w:r>
        <w:rPr>
          <w:szCs w:val="19"/>
        </w:rPr>
        <w:t>T</w:t>
      </w:r>
      <w:r w:rsidR="00A25B18" w:rsidRPr="005C1C3F">
        <w:rPr>
          <w:szCs w:val="19"/>
        </w:rPr>
        <w:t xml:space="preserve">he Board of Governors recently approved changes to the EHRA </w:t>
      </w:r>
      <w:r w:rsidR="0011376B">
        <w:rPr>
          <w:szCs w:val="19"/>
        </w:rPr>
        <w:t xml:space="preserve">(Exempt from Human Resource Act) </w:t>
      </w:r>
      <w:r w:rsidR="00A25B18" w:rsidRPr="005C1C3F">
        <w:rPr>
          <w:szCs w:val="19"/>
        </w:rPr>
        <w:t>salary adjustment pre-authorization guidelines by increasing the on-campus approval threshold and clarifying requirements for retention adjustments. The details are listed below</w:t>
      </w:r>
      <w:r w:rsidR="000E791A">
        <w:rPr>
          <w:szCs w:val="19"/>
        </w:rPr>
        <w:t>, but p</w:t>
      </w:r>
      <w:r w:rsidR="00A25B18" w:rsidRPr="005C1C3F">
        <w:rPr>
          <w:szCs w:val="19"/>
        </w:rPr>
        <w:t xml:space="preserve">lease note that Human Resources secures approval from the Chancellor/designee on your behalf. </w:t>
      </w:r>
    </w:p>
    <w:p w14:paraId="595CA2E6" w14:textId="77777777" w:rsidR="007C437B" w:rsidRPr="005C1C3F" w:rsidRDefault="007C437B" w:rsidP="00186FB3">
      <w:pPr>
        <w:ind w:left="-1080" w:right="-720"/>
        <w:rPr>
          <w:szCs w:val="19"/>
        </w:rPr>
      </w:pPr>
    </w:p>
    <w:p w14:paraId="51E23BF4" w14:textId="77777777" w:rsidR="00A25B18" w:rsidRDefault="00A25B18" w:rsidP="00186FB3">
      <w:pPr>
        <w:ind w:left="-1080" w:right="-720"/>
        <w:rPr>
          <w:szCs w:val="19"/>
        </w:rPr>
      </w:pPr>
      <w:r w:rsidRPr="005C1C3F">
        <w:rPr>
          <w:b/>
          <w:szCs w:val="19"/>
          <w:u w:val="single"/>
        </w:rPr>
        <w:t>EHRA Permanent Base Salary Adjustments (including competitive events and administrative and honorific supplements)</w:t>
      </w:r>
      <w:r w:rsidRPr="005C1C3F">
        <w:rPr>
          <w:szCs w:val="19"/>
        </w:rPr>
        <w:t xml:space="preserve">:  The Chancellor or his designee may approve base salary adjustments up to 15% </w:t>
      </w:r>
      <w:r w:rsidR="00F31354" w:rsidRPr="00F31354">
        <w:rPr>
          <w:szCs w:val="19"/>
        </w:rPr>
        <w:t xml:space="preserve">and </w:t>
      </w:r>
      <w:r w:rsidRPr="005C1C3F">
        <w:rPr>
          <w:szCs w:val="19"/>
        </w:rPr>
        <w:t>$10,000 cumulatively over the employee’s June 30</w:t>
      </w:r>
      <w:r w:rsidRPr="005C1C3F">
        <w:rPr>
          <w:szCs w:val="19"/>
          <w:vertAlign w:val="superscript"/>
        </w:rPr>
        <w:t>th</w:t>
      </w:r>
      <w:r w:rsidRPr="005C1C3F">
        <w:rPr>
          <w:szCs w:val="19"/>
        </w:rPr>
        <w:t xml:space="preserve"> salary.  </w:t>
      </w:r>
      <w:r w:rsidR="009A24B0">
        <w:rPr>
          <w:szCs w:val="19"/>
        </w:rPr>
        <w:t>If</w:t>
      </w:r>
      <w:r w:rsidRPr="005C1C3F">
        <w:rPr>
          <w:szCs w:val="19"/>
        </w:rPr>
        <w:t xml:space="preserve"> the recommended salary adjustment </w:t>
      </w:r>
      <w:r w:rsidR="009A24B0">
        <w:rPr>
          <w:szCs w:val="19"/>
        </w:rPr>
        <w:t>is</w:t>
      </w:r>
      <w:r w:rsidRPr="005C1C3F">
        <w:rPr>
          <w:szCs w:val="19"/>
        </w:rPr>
        <w:t xml:space="preserve"> in excess of </w:t>
      </w:r>
      <w:r w:rsidRPr="00F31354">
        <w:rPr>
          <w:szCs w:val="19"/>
          <w:u w:val="single"/>
        </w:rPr>
        <w:t>both 15% and $10,000</w:t>
      </w:r>
      <w:r w:rsidR="009A24B0">
        <w:rPr>
          <w:szCs w:val="19"/>
          <w:u w:val="single"/>
        </w:rPr>
        <w:t>,</w:t>
      </w:r>
      <w:r w:rsidRPr="005C1C3F">
        <w:rPr>
          <w:szCs w:val="19"/>
        </w:rPr>
        <w:t xml:space="preserve"> </w:t>
      </w:r>
      <w:r w:rsidR="009A24B0">
        <w:rPr>
          <w:szCs w:val="19"/>
        </w:rPr>
        <w:t xml:space="preserve">it </w:t>
      </w:r>
      <w:r w:rsidRPr="005C1C3F">
        <w:rPr>
          <w:szCs w:val="19"/>
        </w:rPr>
        <w:t>require</w:t>
      </w:r>
      <w:r w:rsidR="009A24B0">
        <w:rPr>
          <w:szCs w:val="19"/>
        </w:rPr>
        <w:t xml:space="preserve">s off-campus approval. </w:t>
      </w:r>
      <w:r w:rsidRPr="005C1C3F">
        <w:rPr>
          <w:szCs w:val="19"/>
        </w:rPr>
        <w:t>For example</w:t>
      </w:r>
      <w:r w:rsidR="009A24B0">
        <w:rPr>
          <w:szCs w:val="19"/>
        </w:rPr>
        <w:t>,</w:t>
      </w:r>
      <w:r w:rsidRPr="005C1C3F">
        <w:rPr>
          <w:szCs w:val="19"/>
        </w:rPr>
        <w:t xml:space="preserve"> a $12,000 salary adjustment which equals a 14% increase over the employee’s June 30, 2015 salary </w:t>
      </w:r>
      <w:r w:rsidRPr="005C1C3F">
        <w:rPr>
          <w:szCs w:val="19"/>
          <w:u w:val="single"/>
        </w:rPr>
        <w:t>would not</w:t>
      </w:r>
      <w:r w:rsidRPr="005C1C3F">
        <w:rPr>
          <w:szCs w:val="19"/>
        </w:rPr>
        <w:t xml:space="preserve"> require off-campus approval.</w:t>
      </w:r>
    </w:p>
    <w:p w14:paraId="6F22D6C8" w14:textId="77777777" w:rsidR="007C437B" w:rsidRPr="005C1C3F" w:rsidRDefault="007C437B" w:rsidP="00186FB3">
      <w:pPr>
        <w:ind w:left="-1080" w:right="-720"/>
        <w:rPr>
          <w:szCs w:val="19"/>
        </w:rPr>
      </w:pPr>
    </w:p>
    <w:p w14:paraId="26969A03" w14:textId="71E76DAC" w:rsidR="00A25B18" w:rsidRPr="005C1C3F" w:rsidRDefault="00A25B18" w:rsidP="00B0759A">
      <w:pPr>
        <w:pStyle w:val="ListParagraph"/>
        <w:numPr>
          <w:ilvl w:val="0"/>
          <w:numId w:val="5"/>
        </w:numPr>
        <w:spacing w:after="160"/>
        <w:ind w:left="0" w:right="-720"/>
        <w:rPr>
          <w:szCs w:val="19"/>
        </w:rPr>
      </w:pPr>
      <w:r w:rsidRPr="005C1C3F">
        <w:rPr>
          <w:szCs w:val="19"/>
        </w:rPr>
        <w:t>Salary adjustments exceeding this threshold that are related to external competitive events</w:t>
      </w:r>
      <w:r w:rsidR="00587537">
        <w:rPr>
          <w:szCs w:val="19"/>
        </w:rPr>
        <w:t xml:space="preserve"> </w:t>
      </w:r>
      <w:r w:rsidRPr="005C1C3F">
        <w:rPr>
          <w:szCs w:val="19"/>
        </w:rPr>
        <w:t xml:space="preserve">require off-campus approval </w:t>
      </w:r>
      <w:r w:rsidR="00F778F4">
        <w:rPr>
          <w:szCs w:val="19"/>
        </w:rPr>
        <w:t xml:space="preserve">and will be reviewed </w:t>
      </w:r>
      <w:r w:rsidRPr="005C1C3F">
        <w:rPr>
          <w:szCs w:val="19"/>
        </w:rPr>
        <w:t>by the UNC System President or her designee</w:t>
      </w:r>
      <w:r w:rsidR="00F778F4">
        <w:rPr>
          <w:szCs w:val="19"/>
        </w:rPr>
        <w:t>. A</w:t>
      </w:r>
      <w:r w:rsidRPr="005C1C3F">
        <w:rPr>
          <w:szCs w:val="19"/>
        </w:rPr>
        <w:t>ll others m</w:t>
      </w:r>
      <w:r w:rsidR="00F778F4">
        <w:rPr>
          <w:szCs w:val="19"/>
        </w:rPr>
        <w:t>ust be pre-authorized by the Board of Governors’</w:t>
      </w:r>
      <w:r w:rsidRPr="005C1C3F">
        <w:rPr>
          <w:szCs w:val="19"/>
        </w:rPr>
        <w:t xml:space="preserve"> Committee on Personnel and Tenure.</w:t>
      </w:r>
    </w:p>
    <w:p w14:paraId="7A9F3988" w14:textId="77777777" w:rsidR="00A25B18" w:rsidRPr="005C1C3F" w:rsidRDefault="00A25B18" w:rsidP="00B0759A">
      <w:pPr>
        <w:pStyle w:val="ListParagraph"/>
        <w:numPr>
          <w:ilvl w:val="0"/>
          <w:numId w:val="5"/>
        </w:numPr>
        <w:spacing w:after="160"/>
        <w:ind w:left="0" w:right="-720"/>
        <w:rPr>
          <w:szCs w:val="19"/>
        </w:rPr>
      </w:pPr>
      <w:r w:rsidRPr="005C1C3F">
        <w:rPr>
          <w:szCs w:val="19"/>
        </w:rPr>
        <w:t>An FTE increase or appointment length change with a commensurate salary adjustment does not require pre-authorization; however, these guidelines do apply if the rate of pay increases beyond a straight salary conversion.</w:t>
      </w:r>
    </w:p>
    <w:p w14:paraId="496F0B72" w14:textId="77777777" w:rsidR="00A25B18" w:rsidRPr="005C1C3F" w:rsidRDefault="00A25B18" w:rsidP="00B0759A">
      <w:pPr>
        <w:pStyle w:val="ListParagraph"/>
        <w:numPr>
          <w:ilvl w:val="0"/>
          <w:numId w:val="5"/>
        </w:numPr>
        <w:spacing w:after="160"/>
        <w:ind w:left="0" w:right="-720"/>
        <w:rPr>
          <w:szCs w:val="19"/>
        </w:rPr>
      </w:pPr>
      <w:r w:rsidRPr="005C1C3F">
        <w:rPr>
          <w:szCs w:val="19"/>
        </w:rPr>
        <w:t xml:space="preserve">Temporary salary adjustments related to a temporary increase in job duties or responsibilities are not included when determining the pre-authorization threshold for permanent base salary adjustments. </w:t>
      </w:r>
    </w:p>
    <w:p w14:paraId="4416E3C3" w14:textId="77777777" w:rsidR="00A25B18" w:rsidRPr="005C1C3F" w:rsidRDefault="00A25B18" w:rsidP="00186FB3">
      <w:pPr>
        <w:pStyle w:val="ListParagraph"/>
        <w:ind w:left="-1080" w:right="-720"/>
        <w:rPr>
          <w:szCs w:val="19"/>
        </w:rPr>
      </w:pPr>
    </w:p>
    <w:p w14:paraId="3D2C9764" w14:textId="77777777" w:rsidR="00A25B18" w:rsidRDefault="00A25B18" w:rsidP="00186FB3">
      <w:pPr>
        <w:ind w:left="-1080" w:right="-720"/>
        <w:rPr>
          <w:szCs w:val="19"/>
        </w:rPr>
      </w:pPr>
      <w:r w:rsidRPr="005C1C3F">
        <w:rPr>
          <w:b/>
          <w:szCs w:val="19"/>
          <w:u w:val="single"/>
        </w:rPr>
        <w:t>EHRA Temporary Salary Adjustments (including interim/acting appointments and temporary additional duties):</w:t>
      </w:r>
      <w:r w:rsidRPr="005C1C3F">
        <w:rPr>
          <w:szCs w:val="19"/>
        </w:rPr>
        <w:t xml:space="preserve">  The Chancellor or his designee may approve temporary salary adjustments that do not exceed 25% over the employee’s June 30</w:t>
      </w:r>
      <w:r w:rsidRPr="005C1C3F">
        <w:rPr>
          <w:szCs w:val="19"/>
          <w:vertAlign w:val="superscript"/>
        </w:rPr>
        <w:t>th</w:t>
      </w:r>
      <w:r w:rsidRPr="005C1C3F">
        <w:rPr>
          <w:szCs w:val="19"/>
        </w:rPr>
        <w:t xml:space="preserve"> salary </w:t>
      </w:r>
      <w:r w:rsidR="00F31354" w:rsidRPr="00F31354">
        <w:rPr>
          <w:szCs w:val="19"/>
        </w:rPr>
        <w:t xml:space="preserve">or </w:t>
      </w:r>
      <w:r w:rsidRPr="005C1C3F">
        <w:rPr>
          <w:szCs w:val="19"/>
        </w:rPr>
        <w:t>that do not exceed 9 months in duration.</w:t>
      </w:r>
    </w:p>
    <w:p w14:paraId="72B8B237" w14:textId="77777777" w:rsidR="007C437B" w:rsidRPr="005C1C3F" w:rsidRDefault="007C437B" w:rsidP="00186FB3">
      <w:pPr>
        <w:ind w:left="-1080" w:right="-720"/>
        <w:rPr>
          <w:szCs w:val="19"/>
        </w:rPr>
      </w:pPr>
    </w:p>
    <w:p w14:paraId="3299CE7C" w14:textId="77777777" w:rsidR="00A25B18" w:rsidRPr="005C1C3F" w:rsidRDefault="00A25B18" w:rsidP="007C437B">
      <w:pPr>
        <w:pStyle w:val="ListParagraph"/>
        <w:numPr>
          <w:ilvl w:val="0"/>
          <w:numId w:val="6"/>
        </w:numPr>
        <w:spacing w:after="160" w:line="259" w:lineRule="auto"/>
        <w:ind w:left="0" w:right="-720"/>
        <w:rPr>
          <w:szCs w:val="19"/>
        </w:rPr>
      </w:pPr>
      <w:r w:rsidRPr="005C1C3F">
        <w:rPr>
          <w:szCs w:val="19"/>
        </w:rPr>
        <w:t xml:space="preserve">The UNC System President or her designee may pre-authorize temporary salary adjustments that exceed this threshold up to and including 30% </w:t>
      </w:r>
      <w:r w:rsidR="00F31354">
        <w:rPr>
          <w:szCs w:val="19"/>
        </w:rPr>
        <w:t>and</w:t>
      </w:r>
      <w:r w:rsidRPr="005C1C3F">
        <w:rPr>
          <w:szCs w:val="19"/>
        </w:rPr>
        <w:t xml:space="preserve"> that do not exceed 13 months in duration.</w:t>
      </w:r>
    </w:p>
    <w:p w14:paraId="5193311B" w14:textId="77777777" w:rsidR="00A25B18" w:rsidRPr="005C1C3F" w:rsidRDefault="00A25B18" w:rsidP="007C437B">
      <w:pPr>
        <w:pStyle w:val="ListParagraph"/>
        <w:numPr>
          <w:ilvl w:val="0"/>
          <w:numId w:val="6"/>
        </w:numPr>
        <w:spacing w:after="160" w:line="259" w:lineRule="auto"/>
        <w:ind w:left="0" w:right="-720"/>
        <w:rPr>
          <w:szCs w:val="19"/>
        </w:rPr>
      </w:pPr>
      <w:bookmarkStart w:id="0" w:name="_GoBack"/>
      <w:bookmarkEnd w:id="0"/>
      <w:r w:rsidRPr="005C1C3F">
        <w:rPr>
          <w:szCs w:val="19"/>
        </w:rPr>
        <w:lastRenderedPageBreak/>
        <w:t>The BOG Committee on Personnel and Tenure pre-authorizes all others.</w:t>
      </w:r>
    </w:p>
    <w:p w14:paraId="16CFAC48" w14:textId="77777777" w:rsidR="00A25B18" w:rsidRPr="005C1C3F" w:rsidRDefault="00A25B18" w:rsidP="00186FB3">
      <w:pPr>
        <w:pStyle w:val="ListParagraph"/>
        <w:ind w:left="-1080" w:right="-720"/>
        <w:rPr>
          <w:szCs w:val="19"/>
        </w:rPr>
      </w:pPr>
    </w:p>
    <w:p w14:paraId="381106F8" w14:textId="77777777" w:rsidR="00A25B18" w:rsidRDefault="00A25B18" w:rsidP="00186FB3">
      <w:pPr>
        <w:ind w:left="-1080" w:right="-720"/>
        <w:rPr>
          <w:szCs w:val="19"/>
        </w:rPr>
      </w:pPr>
      <w:r w:rsidRPr="005C1C3F">
        <w:rPr>
          <w:b/>
          <w:szCs w:val="19"/>
          <w:u w:val="single"/>
        </w:rPr>
        <w:t>EHRA Critical Retention Adjustments:</w:t>
      </w:r>
      <w:r w:rsidRPr="005C1C3F">
        <w:rPr>
          <w:szCs w:val="19"/>
        </w:rPr>
        <w:t xml:space="preserve">  The Chancellor or his designee may approve retention adjustments up to 15% </w:t>
      </w:r>
      <w:r w:rsidR="00F31354">
        <w:rPr>
          <w:szCs w:val="19"/>
        </w:rPr>
        <w:t>and</w:t>
      </w:r>
      <w:r w:rsidRPr="005C1C3F">
        <w:rPr>
          <w:szCs w:val="19"/>
        </w:rPr>
        <w:t xml:space="preserve"> $10,000 cumulatively over the employee’s June 30</w:t>
      </w:r>
      <w:r w:rsidRPr="005C1C3F">
        <w:rPr>
          <w:szCs w:val="19"/>
          <w:vertAlign w:val="superscript"/>
        </w:rPr>
        <w:t>th</w:t>
      </w:r>
      <w:r w:rsidRPr="005C1C3F">
        <w:rPr>
          <w:szCs w:val="19"/>
        </w:rPr>
        <w:t xml:space="preserve"> salary.</w:t>
      </w:r>
    </w:p>
    <w:p w14:paraId="00453682" w14:textId="77777777" w:rsidR="007C437B" w:rsidRPr="005C1C3F" w:rsidRDefault="007C437B" w:rsidP="0011376B">
      <w:pPr>
        <w:ind w:left="-1080" w:right="-720"/>
        <w:rPr>
          <w:szCs w:val="19"/>
        </w:rPr>
      </w:pPr>
    </w:p>
    <w:p w14:paraId="7A48C79B" w14:textId="3D52E93D" w:rsidR="00A25B18" w:rsidRPr="005C1C3F" w:rsidRDefault="00A25B18" w:rsidP="0011376B">
      <w:pPr>
        <w:pStyle w:val="ListParagraph"/>
        <w:numPr>
          <w:ilvl w:val="0"/>
          <w:numId w:val="7"/>
        </w:numPr>
        <w:spacing w:after="160"/>
        <w:ind w:left="0" w:right="-720"/>
        <w:rPr>
          <w:szCs w:val="19"/>
        </w:rPr>
      </w:pPr>
      <w:r w:rsidRPr="005C1C3F">
        <w:rPr>
          <w:szCs w:val="19"/>
        </w:rPr>
        <w:t xml:space="preserve">In the event of a documented job offer or verifiable active employment negotiations by a current employee with an outside entity, the UNC System President or her designee may pre-authorize any permanent base salary retention adjustment that is above 15% </w:t>
      </w:r>
      <w:r w:rsidR="00F31354" w:rsidRPr="00F31354">
        <w:rPr>
          <w:szCs w:val="19"/>
        </w:rPr>
        <w:t>and</w:t>
      </w:r>
      <w:r w:rsidRPr="00F31354">
        <w:rPr>
          <w:szCs w:val="19"/>
        </w:rPr>
        <w:t xml:space="preserve"> </w:t>
      </w:r>
      <w:r w:rsidRPr="005C1C3F">
        <w:rPr>
          <w:szCs w:val="19"/>
        </w:rPr>
        <w:t>$10,000 but not to exceed 30% of the employee’s June 30</w:t>
      </w:r>
      <w:r w:rsidRPr="005C1C3F">
        <w:rPr>
          <w:szCs w:val="19"/>
          <w:vertAlign w:val="superscript"/>
        </w:rPr>
        <w:t>th</w:t>
      </w:r>
      <w:r w:rsidR="00587537">
        <w:rPr>
          <w:szCs w:val="19"/>
        </w:rPr>
        <w:t xml:space="preserve"> salary. </w:t>
      </w:r>
      <w:r w:rsidRPr="005C1C3F">
        <w:rPr>
          <w:szCs w:val="19"/>
        </w:rPr>
        <w:t>The BOG Committee on Personnel and Tenure must pre-authorize all other retention adjustments.</w:t>
      </w:r>
    </w:p>
    <w:p w14:paraId="551E6FDB" w14:textId="77777777" w:rsidR="00A25B18" w:rsidRPr="005C1C3F" w:rsidRDefault="00A25B18" w:rsidP="0011376B">
      <w:pPr>
        <w:pStyle w:val="ListParagraph"/>
        <w:numPr>
          <w:ilvl w:val="0"/>
          <w:numId w:val="7"/>
        </w:numPr>
        <w:spacing w:after="160"/>
        <w:ind w:left="0" w:right="-720"/>
        <w:rPr>
          <w:szCs w:val="19"/>
        </w:rPr>
      </w:pPr>
      <w:r w:rsidRPr="005C1C3F">
        <w:rPr>
          <w:b/>
          <w:szCs w:val="19"/>
          <w:u w:val="single"/>
        </w:rPr>
        <w:t>Pre-emptive</w:t>
      </w:r>
      <w:r w:rsidRPr="005C1C3F">
        <w:rPr>
          <w:szCs w:val="19"/>
        </w:rPr>
        <w:t xml:space="preserve"> retention adjustments (no documented job offer or verifiable active employment negotiations) above 15% </w:t>
      </w:r>
      <w:r w:rsidR="00F31354">
        <w:rPr>
          <w:szCs w:val="19"/>
        </w:rPr>
        <w:t>and</w:t>
      </w:r>
      <w:r w:rsidRPr="005C1C3F">
        <w:rPr>
          <w:szCs w:val="19"/>
        </w:rPr>
        <w:t xml:space="preserve"> $10,000 cumulatively over the employee’s June 30</w:t>
      </w:r>
      <w:r w:rsidRPr="005C1C3F">
        <w:rPr>
          <w:szCs w:val="19"/>
          <w:vertAlign w:val="superscript"/>
        </w:rPr>
        <w:t>th</w:t>
      </w:r>
      <w:r w:rsidRPr="005C1C3F">
        <w:rPr>
          <w:szCs w:val="19"/>
        </w:rPr>
        <w:t xml:space="preserve"> salary must be pre-approved by the BOT and BOG Committee on Personnel and Tenure.</w:t>
      </w:r>
    </w:p>
    <w:p w14:paraId="0BB61807" w14:textId="77777777" w:rsidR="00A25B18" w:rsidRPr="005C1C3F" w:rsidRDefault="00A25B18" w:rsidP="00186FB3">
      <w:pPr>
        <w:pStyle w:val="ListParagraph"/>
        <w:ind w:left="-1080" w:right="-720"/>
        <w:rPr>
          <w:szCs w:val="19"/>
        </w:rPr>
      </w:pPr>
    </w:p>
    <w:p w14:paraId="63C4747F" w14:textId="67F05346" w:rsidR="006766F4" w:rsidRDefault="006766F4" w:rsidP="006766F4">
      <w:pPr>
        <w:ind w:left="-1080" w:right="-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If you have questions, please contact Human Resources’ Talent</w:t>
      </w:r>
      <w:r w:rsidR="00587537">
        <w:rPr>
          <w:rFonts w:cs="Arial"/>
          <w:sz w:val="20"/>
          <w:szCs w:val="20"/>
        </w:rPr>
        <w:t xml:space="preserve"> Solutions at 919-515-7175 or EHR</w:t>
      </w:r>
      <w:r>
        <w:rPr>
          <w:rFonts w:cs="Arial"/>
          <w:sz w:val="20"/>
          <w:szCs w:val="20"/>
        </w:rPr>
        <w:t xml:space="preserve">A Administration at 919-513-7630.  </w:t>
      </w:r>
    </w:p>
    <w:p w14:paraId="02B60F92" w14:textId="77777777" w:rsidR="006766F4" w:rsidRDefault="006766F4" w:rsidP="00186FB3">
      <w:pPr>
        <w:spacing w:line="288" w:lineRule="auto"/>
        <w:ind w:left="-1080" w:right="-720"/>
        <w:rPr>
          <w:rFonts w:cs="Arial"/>
          <w:szCs w:val="19"/>
        </w:rPr>
      </w:pPr>
    </w:p>
    <w:p w14:paraId="1D8008F1" w14:textId="77777777" w:rsidR="003356CA" w:rsidRDefault="001B5C33" w:rsidP="00186FB3">
      <w:pPr>
        <w:spacing w:line="288" w:lineRule="auto"/>
        <w:ind w:left="-1080" w:right="-720"/>
        <w:rPr>
          <w:rFonts w:cs="Arial"/>
          <w:szCs w:val="19"/>
        </w:rPr>
      </w:pPr>
      <w:r>
        <w:rPr>
          <w:rFonts w:cs="Arial"/>
          <w:szCs w:val="19"/>
        </w:rPr>
        <w:t>cc:</w:t>
      </w:r>
      <w:r>
        <w:rPr>
          <w:rFonts w:cs="Arial"/>
          <w:szCs w:val="19"/>
        </w:rPr>
        <w:tab/>
        <w:t>W. Randolph Woodson, Chancellor</w:t>
      </w:r>
    </w:p>
    <w:p w14:paraId="53E3C22B" w14:textId="77777777" w:rsidR="001B5C33" w:rsidRDefault="001B5C33" w:rsidP="00186FB3">
      <w:pPr>
        <w:spacing w:line="288" w:lineRule="auto"/>
        <w:ind w:left="-1080" w:right="-720"/>
        <w:rPr>
          <w:rFonts w:cs="Arial"/>
          <w:szCs w:val="19"/>
        </w:rPr>
      </w:pPr>
      <w:r>
        <w:rPr>
          <w:rFonts w:cs="Arial"/>
          <w:szCs w:val="19"/>
        </w:rPr>
        <w:tab/>
        <w:t>Duane Larick, Senior Vice Provost, Academic Strategy and Resource Management</w:t>
      </w:r>
    </w:p>
    <w:p w14:paraId="639CDA70" w14:textId="77777777" w:rsidR="001B5C33" w:rsidRDefault="001B5C33" w:rsidP="00186FB3">
      <w:pPr>
        <w:spacing w:line="288" w:lineRule="auto"/>
        <w:ind w:left="-1080" w:right="-720"/>
        <w:rPr>
          <w:rFonts w:cs="Arial"/>
          <w:szCs w:val="19"/>
        </w:rPr>
      </w:pPr>
      <w:r>
        <w:rPr>
          <w:rFonts w:cs="Arial"/>
          <w:szCs w:val="19"/>
        </w:rPr>
        <w:tab/>
        <w:t>Kathy Lambert, Interim Associate Vice Chancellor, Human Resources</w:t>
      </w:r>
    </w:p>
    <w:p w14:paraId="1374ED55" w14:textId="77777777" w:rsidR="001B5C33" w:rsidRDefault="001B5C33" w:rsidP="00186FB3">
      <w:pPr>
        <w:spacing w:line="288" w:lineRule="auto"/>
        <w:ind w:left="-1080" w:right="-720"/>
        <w:rPr>
          <w:rFonts w:cs="Arial"/>
          <w:szCs w:val="19"/>
        </w:rPr>
      </w:pPr>
      <w:r>
        <w:rPr>
          <w:rFonts w:cs="Arial"/>
          <w:szCs w:val="19"/>
        </w:rPr>
        <w:tab/>
        <w:t>Barbara Moses, Interim Associate Vice Chancellor, Finance and Resource Management</w:t>
      </w:r>
    </w:p>
    <w:p w14:paraId="07C185E9" w14:textId="77777777" w:rsidR="001B5C33" w:rsidRDefault="001B5C33" w:rsidP="00186FB3">
      <w:pPr>
        <w:spacing w:line="288" w:lineRule="auto"/>
        <w:ind w:left="-1080" w:right="-720"/>
        <w:rPr>
          <w:rFonts w:cs="Arial"/>
          <w:szCs w:val="19"/>
        </w:rPr>
      </w:pPr>
      <w:r>
        <w:rPr>
          <w:rFonts w:cs="Arial"/>
          <w:szCs w:val="19"/>
        </w:rPr>
        <w:tab/>
        <w:t>Vicki Pennington, Assistant Vice Provost</w:t>
      </w:r>
    </w:p>
    <w:p w14:paraId="263AFFAE" w14:textId="77777777" w:rsidR="001B5C33" w:rsidRPr="005C1C3F" w:rsidRDefault="001B5C33" w:rsidP="00186FB3">
      <w:pPr>
        <w:spacing w:line="288" w:lineRule="auto"/>
        <w:ind w:left="-1080" w:right="-720"/>
        <w:rPr>
          <w:rFonts w:cs="Arial"/>
          <w:szCs w:val="19"/>
        </w:rPr>
      </w:pPr>
      <w:r>
        <w:rPr>
          <w:rFonts w:cs="Arial"/>
          <w:szCs w:val="19"/>
        </w:rPr>
        <w:tab/>
        <w:t>College/Division Business and HR Leads</w:t>
      </w:r>
    </w:p>
    <w:p w14:paraId="406F8D5A" w14:textId="77777777" w:rsidR="00ED3D4C" w:rsidRPr="005C1C3F" w:rsidRDefault="00ED3D4C" w:rsidP="00186FB3">
      <w:pPr>
        <w:spacing w:line="288" w:lineRule="auto"/>
        <w:ind w:left="-1080" w:right="-720"/>
        <w:rPr>
          <w:rFonts w:cs="Arial"/>
          <w:szCs w:val="19"/>
        </w:rPr>
      </w:pPr>
    </w:p>
    <w:sectPr w:rsidR="00ED3D4C" w:rsidRPr="005C1C3F" w:rsidSect="00186FB3">
      <w:headerReference w:type="default" r:id="rId8"/>
      <w:headerReference w:type="first" r:id="rId9"/>
      <w:type w:val="continuous"/>
      <w:pgSz w:w="12240" w:h="15840"/>
      <w:pgMar w:top="1627" w:right="2160" w:bottom="1440" w:left="25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128C9" w14:textId="77777777" w:rsidR="00852F08" w:rsidRDefault="00852F08" w:rsidP="004C0091">
      <w:r>
        <w:separator/>
      </w:r>
    </w:p>
  </w:endnote>
  <w:endnote w:type="continuationSeparator" w:id="0">
    <w:p w14:paraId="555344A0" w14:textId="77777777" w:rsidR="00852F08" w:rsidRDefault="00852F08" w:rsidP="004C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7C30F" w14:textId="77777777" w:rsidR="00852F08" w:rsidRDefault="00852F08" w:rsidP="004C0091">
      <w:r>
        <w:separator/>
      </w:r>
    </w:p>
  </w:footnote>
  <w:footnote w:type="continuationSeparator" w:id="0">
    <w:p w14:paraId="366CBB45" w14:textId="77777777" w:rsidR="00852F08" w:rsidRDefault="00852F08" w:rsidP="004C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85DE0" w14:textId="77777777" w:rsidR="009B701E" w:rsidRDefault="009B701E" w:rsidP="00ED3D4C">
    <w:pPr>
      <w:pStyle w:val="Header"/>
      <w:spacing w:line="288" w:lineRule="auto"/>
      <w:ind w:left="-1080" w:right="-900"/>
      <w:rPr>
        <w:color w:val="808080" w:themeColor="background1" w:themeShade="80"/>
        <w:sz w:val="16"/>
        <w:szCs w:val="16"/>
      </w:rPr>
    </w:pPr>
  </w:p>
  <w:p w14:paraId="15B619B1" w14:textId="77777777" w:rsidR="00ED3D4C" w:rsidRPr="00ED3D4C" w:rsidRDefault="00ED3D4C" w:rsidP="00ED3D4C">
    <w:pPr>
      <w:pStyle w:val="Header"/>
      <w:spacing w:line="288" w:lineRule="auto"/>
      <w:ind w:left="-1080" w:right="-900"/>
      <w:rPr>
        <w:color w:val="808080" w:themeColor="background1" w:themeShade="80"/>
        <w:sz w:val="16"/>
        <w:szCs w:val="16"/>
      </w:rPr>
    </w:pPr>
  </w:p>
  <w:p w14:paraId="06046170" w14:textId="77777777" w:rsidR="009B701E" w:rsidRPr="00ED3D4C" w:rsidRDefault="009B701E" w:rsidP="00ED3D4C">
    <w:pPr>
      <w:pStyle w:val="Header"/>
      <w:spacing w:line="288" w:lineRule="auto"/>
      <w:ind w:left="-1080" w:right="-900"/>
      <w:rPr>
        <w:color w:val="808080" w:themeColor="background1" w:themeShade="80"/>
        <w:sz w:val="16"/>
        <w:szCs w:val="16"/>
      </w:rPr>
    </w:pPr>
  </w:p>
  <w:p w14:paraId="711AB9C3" w14:textId="77777777" w:rsidR="00ED3D4C" w:rsidRPr="00ED3D4C" w:rsidRDefault="00F31354" w:rsidP="00ED3D4C">
    <w:pPr>
      <w:pStyle w:val="Header"/>
      <w:spacing w:line="288" w:lineRule="auto"/>
      <w:ind w:hanging="1080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>Updates to the EHRA Salary Adjustment Pre-Authorization Guidelines</w:t>
    </w:r>
  </w:p>
  <w:p w14:paraId="295550E6" w14:textId="77777777" w:rsidR="009B701E" w:rsidRPr="00ED3D4C" w:rsidRDefault="009B701E" w:rsidP="00ED3D4C">
    <w:pPr>
      <w:pStyle w:val="Header"/>
      <w:spacing w:line="288" w:lineRule="auto"/>
      <w:ind w:hanging="1080"/>
      <w:rPr>
        <w:noProof/>
        <w:color w:val="808080" w:themeColor="background1" w:themeShade="80"/>
        <w:sz w:val="16"/>
        <w:szCs w:val="16"/>
      </w:rPr>
    </w:pPr>
    <w:r w:rsidRPr="00ED3D4C">
      <w:rPr>
        <w:color w:val="808080" w:themeColor="background1" w:themeShade="80"/>
        <w:sz w:val="16"/>
        <w:szCs w:val="16"/>
      </w:rPr>
      <w:t>Page</w:t>
    </w:r>
    <w:r w:rsidR="000C5224" w:rsidRPr="00ED3D4C">
      <w:rPr>
        <w:color w:val="808080" w:themeColor="background1" w:themeShade="80"/>
        <w:sz w:val="16"/>
        <w:szCs w:val="16"/>
      </w:rPr>
      <w:t xml:space="preserve"> </w:t>
    </w:r>
    <w:r w:rsidRPr="00ED3D4C">
      <w:rPr>
        <w:color w:val="808080" w:themeColor="background1" w:themeShade="80"/>
        <w:sz w:val="16"/>
        <w:szCs w:val="16"/>
      </w:rPr>
      <w:fldChar w:fldCharType="begin"/>
    </w:r>
    <w:r w:rsidRPr="00ED3D4C">
      <w:rPr>
        <w:color w:val="808080" w:themeColor="background1" w:themeShade="80"/>
        <w:sz w:val="16"/>
        <w:szCs w:val="16"/>
      </w:rPr>
      <w:instrText xml:space="preserve"> PAGE   \* MERGEFORMAT </w:instrText>
    </w:r>
    <w:r w:rsidRPr="00ED3D4C">
      <w:rPr>
        <w:color w:val="808080" w:themeColor="background1" w:themeShade="80"/>
        <w:sz w:val="16"/>
        <w:szCs w:val="16"/>
      </w:rPr>
      <w:fldChar w:fldCharType="separate"/>
    </w:r>
    <w:r w:rsidR="00415F4A">
      <w:rPr>
        <w:noProof/>
        <w:color w:val="808080" w:themeColor="background1" w:themeShade="80"/>
        <w:sz w:val="16"/>
        <w:szCs w:val="16"/>
      </w:rPr>
      <w:t>2</w:t>
    </w:r>
    <w:r w:rsidRPr="00ED3D4C">
      <w:rPr>
        <w:noProof/>
        <w:color w:val="808080" w:themeColor="background1" w:themeShade="80"/>
        <w:sz w:val="16"/>
        <w:szCs w:val="16"/>
      </w:rPr>
      <w:fldChar w:fldCharType="end"/>
    </w:r>
  </w:p>
  <w:p w14:paraId="490D4020" w14:textId="58DA6F7F" w:rsidR="00ED3D4C" w:rsidRPr="00ED3D4C" w:rsidRDefault="00F31354" w:rsidP="00ED3D4C">
    <w:pPr>
      <w:pStyle w:val="Header"/>
      <w:spacing w:line="288" w:lineRule="auto"/>
      <w:ind w:hanging="1080"/>
      <w:rPr>
        <w:noProof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t xml:space="preserve">May </w:t>
    </w:r>
    <w:r w:rsidR="000D13B9">
      <w:rPr>
        <w:noProof/>
        <w:color w:val="808080" w:themeColor="background1" w:themeShade="80"/>
        <w:sz w:val="16"/>
        <w:szCs w:val="16"/>
      </w:rPr>
      <w:t>13</w:t>
    </w:r>
    <w:r>
      <w:rPr>
        <w:noProof/>
        <w:color w:val="808080" w:themeColor="background1" w:themeShade="80"/>
        <w:sz w:val="16"/>
        <w:szCs w:val="16"/>
      </w:rPr>
      <w:t>, 20</w:t>
    </w:r>
    <w:r w:rsidR="00415F4A">
      <w:rPr>
        <w:noProof/>
        <w:color w:val="808080" w:themeColor="background1" w:themeShade="80"/>
        <w:sz w:val="16"/>
        <w:szCs w:val="16"/>
      </w:rPr>
      <w:t>1</w:t>
    </w:r>
    <w:r>
      <w:rPr>
        <w:noProof/>
        <w:color w:val="808080" w:themeColor="background1" w:themeShade="80"/>
        <w:sz w:val="16"/>
        <w:szCs w:val="16"/>
      </w:rPr>
      <w:t>6</w:t>
    </w:r>
  </w:p>
  <w:p w14:paraId="1C61EAC9" w14:textId="77777777" w:rsidR="009B701E" w:rsidRPr="00ED3D4C" w:rsidRDefault="009B701E" w:rsidP="00ED3D4C">
    <w:pPr>
      <w:pStyle w:val="Header"/>
      <w:spacing w:line="288" w:lineRule="auto"/>
      <w:ind w:hanging="1080"/>
      <w:rPr>
        <w:noProof/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AF08C" w14:textId="77777777" w:rsidR="00197280" w:rsidRPr="00197280" w:rsidRDefault="008A3CAC" w:rsidP="00197280">
    <w:pPr>
      <w:pStyle w:val="Header"/>
    </w:pPr>
    <w:r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BF6212" wp14:editId="2B2217EB">
              <wp:simplePos x="0" y="0"/>
              <wp:positionH relativeFrom="column">
                <wp:posOffset>923925</wp:posOffset>
              </wp:positionH>
              <wp:positionV relativeFrom="paragraph">
                <wp:posOffset>457200</wp:posOffset>
              </wp:positionV>
              <wp:extent cx="1600200" cy="586105"/>
              <wp:effectExtent l="0" t="0" r="0" b="444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FE47DE" w14:textId="77777777" w:rsidR="003E53F9" w:rsidRDefault="009B701E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Executive Vice Chancellor </w:t>
                          </w:r>
                          <w:r w:rsidR="00B0759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br/>
                            <w:t>and Provost</w:t>
                          </w:r>
                        </w:p>
                        <w:p w14:paraId="1317B9E9" w14:textId="77777777" w:rsidR="009B701E" w:rsidRDefault="009B701E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and</w:t>
                          </w:r>
                        </w:p>
                        <w:p w14:paraId="1043E436" w14:textId="77777777" w:rsidR="008A3CAC" w:rsidRDefault="009B701E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Vice Chancellor for </w:t>
                          </w:r>
                        </w:p>
                        <w:p w14:paraId="17969774" w14:textId="77777777" w:rsidR="009B701E" w:rsidRDefault="009B701E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Finance and </w:t>
                          </w:r>
                          <w:r w:rsidR="008A3CA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Administration</w:t>
                          </w:r>
                        </w:p>
                        <w:p w14:paraId="073CFA96" w14:textId="77777777" w:rsidR="00197280" w:rsidRPr="00143B83" w:rsidRDefault="00197280" w:rsidP="00197280">
                          <w:pPr>
                            <w:spacing w:after="26" w:line="240" w:lineRule="auto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F62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2.75pt;margin-top:36pt;width:126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" filled="f" stroked="f">
              <v:textbox inset="0,0,0,0">
                <w:txbxContent>
                  <w:p w14:paraId="01FE47DE" w14:textId="77777777" w:rsidR="003E53F9" w:rsidRDefault="009B701E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Executive Vice Chancellor </w:t>
                    </w:r>
                    <w:r w:rsidR="00B0759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br/>
                      <w:t>and Provost</w:t>
                    </w:r>
                  </w:p>
                  <w:p w14:paraId="1317B9E9" w14:textId="77777777" w:rsidR="009B701E" w:rsidRDefault="009B701E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proofErr w:type="gramStart"/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and</w:t>
                    </w:r>
                    <w:proofErr w:type="gramEnd"/>
                  </w:p>
                  <w:p w14:paraId="1043E436" w14:textId="77777777" w:rsidR="008A3CAC" w:rsidRDefault="009B701E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Vice Chancellor for </w:t>
                    </w:r>
                  </w:p>
                  <w:p w14:paraId="17969774" w14:textId="77777777" w:rsidR="009B701E" w:rsidRDefault="009B701E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Finance and </w:t>
                    </w:r>
                    <w:r w:rsidR="008A3CA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Administration</w:t>
                    </w:r>
                  </w:p>
                  <w:p w14:paraId="073CFA96" w14:textId="77777777" w:rsidR="00197280" w:rsidRPr="00143B83" w:rsidRDefault="00197280" w:rsidP="00197280">
                    <w:pPr>
                      <w:spacing w:after="26" w:line="240" w:lineRule="auto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E53F9"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FC61DE" wp14:editId="4E437723">
              <wp:simplePos x="0" y="0"/>
              <wp:positionH relativeFrom="column">
                <wp:posOffset>3733800</wp:posOffset>
              </wp:positionH>
              <wp:positionV relativeFrom="paragraph">
                <wp:posOffset>466725</wp:posOffset>
              </wp:positionV>
              <wp:extent cx="1135380" cy="577215"/>
              <wp:effectExtent l="0" t="0" r="7620" b="13335"/>
              <wp:wrapTight wrapText="bothSides">
                <wp:wrapPolygon edited="0">
                  <wp:start x="0" y="0"/>
                  <wp:lineTo x="0" y="21386"/>
                  <wp:lineTo x="21383" y="21386"/>
                  <wp:lineTo x="21383" y="0"/>
                  <wp:lineTo x="0" y="0"/>
                </wp:wrapPolygon>
              </wp:wrapTight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53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92262" w14:textId="77777777" w:rsidR="00197280" w:rsidRDefault="009B701E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Holladay Hall</w:t>
                          </w:r>
                        </w:p>
                        <w:p w14:paraId="073909A8" w14:textId="77777777" w:rsidR="00197280" w:rsidRPr="00FF1CE0" w:rsidRDefault="009B701E" w:rsidP="009B701E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>Raleigh, NC 27695</w:t>
                          </w:r>
                        </w:p>
                        <w:p w14:paraId="323435C5" w14:textId="77777777" w:rsidR="00197280" w:rsidRDefault="00197280" w:rsidP="00197280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6D0894" id="Text Box 6" o:spid="_x0000_s1027" type="#_x0000_t202" style="position:absolute;margin-left:294pt;margin-top:36.75pt;width:89.4pt;height:4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" filled="f" stroked="f">
              <v:textbox inset="0,0,0,0">
                <w:txbxContent>
                  <w:p w:rsidR="00197280" w:rsidRDefault="009B701E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Holladay Hall</w:t>
                    </w:r>
                  </w:p>
                  <w:p w:rsidR="00197280" w:rsidRPr="00FF1CE0" w:rsidRDefault="009B701E" w:rsidP="009B701E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sz w:val="15"/>
                        <w:szCs w:val="15"/>
                      </w:rPr>
                      <w:t>Raleigh, NC 27695</w:t>
                    </w:r>
                  </w:p>
                  <w:p w:rsidR="00197280" w:rsidRDefault="00197280" w:rsidP="00197280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197280" w:rsidRPr="00197280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D3E4C5D" wp14:editId="2A044CAD">
          <wp:simplePos x="0" y="0"/>
          <wp:positionH relativeFrom="column">
            <wp:posOffset>-1130300</wp:posOffset>
          </wp:positionH>
          <wp:positionV relativeFrom="paragraph">
            <wp:posOffset>462915</wp:posOffset>
          </wp:positionV>
          <wp:extent cx="1139190" cy="548640"/>
          <wp:effectExtent l="0" t="0" r="381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tate-brick-2x2-red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190" cy="5486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1583"/>
    <w:multiLevelType w:val="hybridMultilevel"/>
    <w:tmpl w:val="99945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02331"/>
    <w:multiLevelType w:val="hybridMultilevel"/>
    <w:tmpl w:val="0A5CD4CE"/>
    <w:lvl w:ilvl="0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79C4B2FC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9491F34"/>
    <w:multiLevelType w:val="multilevel"/>
    <w:tmpl w:val="A50C57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AB34DE8"/>
    <w:multiLevelType w:val="hybridMultilevel"/>
    <w:tmpl w:val="2E68A9C2"/>
    <w:lvl w:ilvl="0" w:tplc="4A1C6904">
      <w:numFmt w:val="bullet"/>
      <w:lvlText w:val=""/>
      <w:lvlJc w:val="left"/>
      <w:pPr>
        <w:ind w:left="-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4E89175D"/>
    <w:multiLevelType w:val="hybridMultilevel"/>
    <w:tmpl w:val="E762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853DF"/>
    <w:multiLevelType w:val="hybridMultilevel"/>
    <w:tmpl w:val="9DFA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5F"/>
    <w:rsid w:val="00024ECA"/>
    <w:rsid w:val="000C5224"/>
    <w:rsid w:val="000D13B9"/>
    <w:rsid w:val="000D2B14"/>
    <w:rsid w:val="000E791A"/>
    <w:rsid w:val="0011376B"/>
    <w:rsid w:val="00143B83"/>
    <w:rsid w:val="00151923"/>
    <w:rsid w:val="00186FB3"/>
    <w:rsid w:val="00197280"/>
    <w:rsid w:val="001B5C33"/>
    <w:rsid w:val="001E4A40"/>
    <w:rsid w:val="001F77F9"/>
    <w:rsid w:val="002E3A04"/>
    <w:rsid w:val="00301283"/>
    <w:rsid w:val="003226A2"/>
    <w:rsid w:val="003356CA"/>
    <w:rsid w:val="00360E30"/>
    <w:rsid w:val="003A4584"/>
    <w:rsid w:val="003E53F9"/>
    <w:rsid w:val="00415F4A"/>
    <w:rsid w:val="004C0091"/>
    <w:rsid w:val="00566861"/>
    <w:rsid w:val="00587537"/>
    <w:rsid w:val="0059221A"/>
    <w:rsid w:val="005C1C3F"/>
    <w:rsid w:val="005F3F4C"/>
    <w:rsid w:val="006766F4"/>
    <w:rsid w:val="00687FE1"/>
    <w:rsid w:val="006A7671"/>
    <w:rsid w:val="006C637A"/>
    <w:rsid w:val="007C437B"/>
    <w:rsid w:val="008145B7"/>
    <w:rsid w:val="00852F08"/>
    <w:rsid w:val="008A3CAC"/>
    <w:rsid w:val="009A24B0"/>
    <w:rsid w:val="009B701E"/>
    <w:rsid w:val="009C3DA4"/>
    <w:rsid w:val="00A10D5F"/>
    <w:rsid w:val="00A25B18"/>
    <w:rsid w:val="00B0759A"/>
    <w:rsid w:val="00B64C12"/>
    <w:rsid w:val="00C33FA6"/>
    <w:rsid w:val="00C640F7"/>
    <w:rsid w:val="00C7601B"/>
    <w:rsid w:val="00C91FD9"/>
    <w:rsid w:val="00D34487"/>
    <w:rsid w:val="00ED3D4C"/>
    <w:rsid w:val="00F31354"/>
    <w:rsid w:val="00F778F4"/>
    <w:rsid w:val="00FB789E"/>
    <w:rsid w:val="00FF1CE0"/>
    <w:rsid w:val="00FF4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4:docId w14:val="5794CAE7"/>
  <w15:docId w15:val="{6E54BBF7-90DF-4C23-8BCB-9A98897B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pus_letterhead"/>
    <w:qFormat/>
    <w:rsid w:val="00C640F7"/>
    <w:pPr>
      <w:spacing w:line="304" w:lineRule="exact"/>
    </w:pPr>
    <w:rPr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2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91"/>
  </w:style>
  <w:style w:type="paragraph" w:styleId="Footer">
    <w:name w:val="footer"/>
    <w:basedOn w:val="Normal"/>
    <w:link w:val="Foot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91"/>
  </w:style>
  <w:style w:type="paragraph" w:customStyle="1" w:styleId="BasicParagraph">
    <w:name w:val="[Basic Paragraph]"/>
    <w:basedOn w:val="Normal"/>
    <w:uiPriority w:val="99"/>
    <w:rsid w:val="006A7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1F77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2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B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foste2\Desktop\ncstate-letterhead-2colum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F7F85F-3A3E-4BE4-9D00-D7DAB399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ncstate-letterhead-2column</Template>
  <TotalTime>1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Jacklyn Foster</dc:creator>
  <cp:lastModifiedBy>Amy Mull</cp:lastModifiedBy>
  <cp:revision>3</cp:revision>
  <cp:lastPrinted>2016-05-05T18:01:00Z</cp:lastPrinted>
  <dcterms:created xsi:type="dcterms:W3CDTF">2016-05-09T19:29:00Z</dcterms:created>
  <dcterms:modified xsi:type="dcterms:W3CDTF">2016-05-09T19:29:00Z</dcterms:modified>
</cp:coreProperties>
</file>