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A7" w:rsidRDefault="003D39A7" w:rsidP="003D39A7">
      <w:pPr>
        <w:ind w:left="-1080" w:right="-720"/>
        <w:rPr>
          <w:rFonts w:cs="Arial"/>
          <w:sz w:val="20"/>
          <w:szCs w:val="20"/>
        </w:rPr>
      </w:pPr>
      <w:bookmarkStart w:id="0" w:name="_GoBack"/>
      <w:bookmarkEnd w:id="0"/>
    </w:p>
    <w:p w:rsidR="003D39A7" w:rsidRDefault="003D39A7" w:rsidP="003D39A7">
      <w:pPr>
        <w:ind w:left="-1080" w:right="-720"/>
        <w:rPr>
          <w:rFonts w:cs="Arial"/>
          <w:sz w:val="20"/>
          <w:szCs w:val="20"/>
        </w:rPr>
      </w:pPr>
    </w:p>
    <w:p w:rsidR="003D39A7" w:rsidRDefault="003D39A7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 11</w:t>
      </w:r>
      <w:r w:rsidRPr="00452FD6">
        <w:rPr>
          <w:rFonts w:cs="Arial"/>
          <w:sz w:val="20"/>
          <w:szCs w:val="20"/>
        </w:rPr>
        <w:t>, 2015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b/>
          <w:sz w:val="20"/>
          <w:szCs w:val="20"/>
        </w:rPr>
      </w:pPr>
      <w:r w:rsidRPr="00452FD6">
        <w:rPr>
          <w:rFonts w:cs="Arial"/>
          <w:b/>
          <w:sz w:val="20"/>
          <w:szCs w:val="20"/>
        </w:rPr>
        <w:t>MEMORANDUM</w:t>
      </w:r>
    </w:p>
    <w:p w:rsidR="00883758" w:rsidRPr="00452FD6" w:rsidRDefault="00883758" w:rsidP="003D39A7">
      <w:pPr>
        <w:ind w:left="-1080" w:right="-720"/>
        <w:rPr>
          <w:rFonts w:cs="Arial"/>
          <w:b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 w:rsidRPr="00452FD6">
        <w:rPr>
          <w:rFonts w:cs="Arial"/>
          <w:sz w:val="20"/>
          <w:szCs w:val="20"/>
        </w:rPr>
        <w:t xml:space="preserve">TO: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Deans, Directors, and Department Heads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3D39A7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FROM: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Warwick A. Arden, Provost and Executive Vice Chancellor</w:t>
      </w:r>
    </w:p>
    <w:p w:rsidR="00883758" w:rsidRDefault="00883758" w:rsidP="003D39A7">
      <w:pPr>
        <w:ind w:left="-360" w:right="-720" w:firstLine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 D. Leffler, Vice Chancellor for Finance and Business</w:t>
      </w:r>
    </w:p>
    <w:p w:rsidR="00883758" w:rsidRDefault="00883758" w:rsidP="003D39A7">
      <w:pPr>
        <w:ind w:left="-1080" w:right="-720" w:firstLine="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SUBJECT:</w:t>
      </w:r>
      <w:r>
        <w:rPr>
          <w:rFonts w:cs="Arial"/>
          <w:sz w:val="20"/>
          <w:szCs w:val="20"/>
        </w:rPr>
        <w:tab/>
      </w:r>
      <w:r w:rsidR="003D39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Limits on Salary Actions with Effective Dates of July 1, 2015 or later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see the attached memorandum from UNC General Administration.  Effective immediately, and until salary guidelines for the next fiscal year have been issued by the State and by UNC-GA, campuses are asked to restrict their requests for, and commitments of, salary increases that would have effective dates of July 1, 2015, or later.  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Campuses are instructed not to approve any further salary adjustments of less than 10% at the campus level – or to request UNC-GA approval of adjustments of 10% or more – with July 1 or later effective dates, </w:t>
      </w:r>
      <w:r w:rsidRPr="00645FC4">
        <w:rPr>
          <w:rFonts w:cs="Arial"/>
          <w:i/>
          <w:sz w:val="20"/>
          <w:szCs w:val="20"/>
        </w:rPr>
        <w:t>except</w:t>
      </w:r>
      <w:r>
        <w:rPr>
          <w:rFonts w:cs="Arial"/>
          <w:sz w:val="20"/>
          <w:szCs w:val="20"/>
        </w:rPr>
        <w:t xml:space="preserve"> if the adjustment falls into one of the scenarios described in the attached memo.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These restrictions continue to allow for consideration of competitive search recruitments with significant job changes, retention counteroffers,</w:t>
      </w:r>
      <w:r w:rsidR="007E5557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promotions</w:t>
      </w:r>
      <w:proofErr w:type="gramEnd"/>
      <w:r>
        <w:rPr>
          <w:rFonts w:cs="Arial"/>
          <w:sz w:val="20"/>
          <w:szCs w:val="20"/>
        </w:rPr>
        <w:t xml:space="preserve"> in faculty rank, and similar, but they curtail actions such as minor reclassification, merit, and equity adjustments with effective dates of July 1 or later.  These restrictions cover all positions, regardless of source of funds.  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expect that these restrictions will remain in place until the State has passed an official budget for fiscal year 2015-16 and issued guidance and funding to the UNC-GA Board of Governors, and until UNC-GA issues subsequent guidance to the campuses.  UNC-GA has indicated it will monitor salary activity closely for compliance.  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questions, please contact Human Resources’ Talent Solutions at 919-515-7175 or EPA Administration at 919-513-7630.  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</w:p>
    <w:p w:rsidR="00883758" w:rsidRDefault="004C1595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83758">
        <w:rPr>
          <w:rFonts w:cs="Arial"/>
          <w:sz w:val="20"/>
          <w:szCs w:val="20"/>
        </w:rPr>
        <w:t>c:</w:t>
      </w:r>
      <w:r w:rsidR="00883758">
        <w:rPr>
          <w:rFonts w:cs="Arial"/>
          <w:sz w:val="20"/>
          <w:szCs w:val="20"/>
        </w:rPr>
        <w:tab/>
        <w:t>Barbara Carroll, Associate Vice Chancellor for Human Resources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Steve </w:t>
      </w:r>
      <w:proofErr w:type="spellStart"/>
      <w:r>
        <w:rPr>
          <w:rFonts w:cs="Arial"/>
          <w:sz w:val="20"/>
          <w:szCs w:val="20"/>
        </w:rPr>
        <w:t>Keto</w:t>
      </w:r>
      <w:proofErr w:type="spellEnd"/>
      <w:r>
        <w:rPr>
          <w:rFonts w:cs="Arial"/>
          <w:sz w:val="20"/>
          <w:szCs w:val="20"/>
        </w:rPr>
        <w:t>, Associate Vice Chancellor for Finance &amp; Resource Management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Kathy Lambert, Senior Director, Human Resources</w:t>
      </w:r>
    </w:p>
    <w:p w:rsidR="00883758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Barbara Moses, University Budget Officer  </w:t>
      </w:r>
    </w:p>
    <w:p w:rsidR="003D39A7" w:rsidRDefault="00883758" w:rsidP="003D39A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College &amp; Division Financial and HR Leads</w:t>
      </w:r>
    </w:p>
    <w:p w:rsidR="003D39A7" w:rsidRDefault="003D39A7" w:rsidP="003D39A7">
      <w:pPr>
        <w:ind w:left="-1080" w:right="-720"/>
        <w:rPr>
          <w:rFonts w:cs="Arial"/>
          <w:sz w:val="20"/>
          <w:szCs w:val="20"/>
        </w:rPr>
      </w:pPr>
    </w:p>
    <w:p w:rsidR="00197280" w:rsidRPr="007E5557" w:rsidRDefault="003D39A7" w:rsidP="007E5557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Attachment</w:t>
      </w:r>
    </w:p>
    <w:sectPr w:rsidR="00197280" w:rsidRPr="007E5557" w:rsidSect="003D39A7">
      <w:headerReference w:type="default" r:id="rId7"/>
      <w:headerReference w:type="first" r:id="rId8"/>
      <w:pgSz w:w="12240" w:h="15840"/>
      <w:pgMar w:top="1627" w:right="2160" w:bottom="810" w:left="2520" w:header="0" w:footer="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A3" w:rsidRDefault="000F3AA3" w:rsidP="004C0091">
      <w:r>
        <w:separator/>
      </w:r>
    </w:p>
  </w:endnote>
  <w:endnote w:type="continuationSeparator" w:id="0">
    <w:p w:rsidR="000F3AA3" w:rsidRDefault="000F3AA3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A3" w:rsidRDefault="000F3AA3" w:rsidP="004C0091">
      <w:r>
        <w:separator/>
      </w:r>
    </w:p>
  </w:footnote>
  <w:footnote w:type="continuationSeparator" w:id="0">
    <w:p w:rsidR="000F3AA3" w:rsidRDefault="000F3AA3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  <w:r w:rsidRPr="00A52F87">
      <w:rPr>
        <w:rFonts w:cs="Arial"/>
        <w:sz w:val="16"/>
        <w:szCs w:val="16"/>
      </w:rPr>
      <w:t>Finance and Business Administrative Shared Services</w:t>
    </w: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Page 2</w:t>
    </w:r>
  </w:p>
  <w:p w:rsidR="00A52F87" w:rsidRDefault="00A52F87" w:rsidP="00A52F87">
    <w:pPr>
      <w:pStyle w:val="Header"/>
      <w:spacing w:line="288" w:lineRule="auto"/>
      <w:ind w:left="-1080" w:right="-720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March 20, 2015</w:t>
    </w:r>
  </w:p>
  <w:p w:rsidR="00A52F87" w:rsidRPr="00A52F87" w:rsidRDefault="00A52F87" w:rsidP="00A52F87">
    <w:pPr>
      <w:pStyle w:val="Header"/>
      <w:rPr>
        <w:sz w:val="16"/>
        <w:szCs w:val="16"/>
      </w:rPr>
    </w:pPr>
  </w:p>
  <w:p w:rsidR="008B2FC1" w:rsidRPr="00A52F87" w:rsidRDefault="008B2FC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7E5557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7C900" wp14:editId="4DE6E821">
              <wp:simplePos x="0" y="0"/>
              <wp:positionH relativeFrom="column">
                <wp:posOffset>923925</wp:posOffset>
              </wp:positionH>
              <wp:positionV relativeFrom="paragraph">
                <wp:posOffset>447675</wp:posOffset>
              </wp:positionV>
              <wp:extent cx="1461135" cy="609600"/>
              <wp:effectExtent l="0" t="0" r="571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13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Pr="007E5557" w:rsidRDefault="007E5557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Provost and Executive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br/>
                            <w:t>Vice Chancellor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br/>
                            <w:t>and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br/>
                            <w:t xml:space="preserve">Vice Chancellor for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br/>
                          </w:r>
                          <w:r w:rsidR="008B2FC1" w:rsidRPr="008B2FC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Finance and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7C9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35.25pt;width:115.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" filled="f" stroked="f">
              <v:textbox inset="0,0,0,0">
                <w:txbxContent>
                  <w:p w:rsidR="00197280" w:rsidRPr="007E5557" w:rsidRDefault="007E5557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Provost and Executive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br/>
                      <w:t>Vice Chancellor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br/>
                      <w:t>and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br/>
                      <w:t xml:space="preserve">Vice Chancellor for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br/>
                    </w:r>
                    <w:r w:rsidR="008B2FC1" w:rsidRPr="008B2FC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Finance and Business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77A1E" wp14:editId="4DA4948F">
              <wp:simplePos x="0" y="0"/>
              <wp:positionH relativeFrom="column">
                <wp:posOffset>3733165</wp:posOffset>
              </wp:positionH>
              <wp:positionV relativeFrom="paragraph">
                <wp:posOffset>448310</wp:posOffset>
              </wp:positionV>
              <wp:extent cx="1135380" cy="501015"/>
              <wp:effectExtent l="0" t="0" r="7620" b="13335"/>
              <wp:wrapTight wrapText="bothSides">
                <wp:wrapPolygon edited="0">
                  <wp:start x="0" y="0"/>
                  <wp:lineTo x="0" y="21354"/>
                  <wp:lineTo x="21383" y="21354"/>
                  <wp:lineTo x="21383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7E555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Holladay Hall</w:t>
                          </w:r>
                        </w:p>
                        <w:p w:rsidR="00197280" w:rsidRPr="007E5557" w:rsidRDefault="007E5557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77A1E" id="Text Box 6" o:spid="_x0000_s1027" type="#_x0000_t202" style="position:absolute;margin-left:293.95pt;margin-top:35.3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" filled="f" stroked="f">
              <v:textbox inset="0,0,0,0">
                <w:txbxContent>
                  <w:p w:rsidR="00197280" w:rsidRDefault="007E555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Holladay Hall</w:t>
                    </w:r>
                  </w:p>
                  <w:p w:rsidR="00197280" w:rsidRPr="007E5557" w:rsidRDefault="007E5557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D49FE47" wp14:editId="2AACD577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2"/>
    <w:rsid w:val="000F3AA3"/>
    <w:rsid w:val="00143B83"/>
    <w:rsid w:val="00151923"/>
    <w:rsid w:val="00197280"/>
    <w:rsid w:val="002E3A04"/>
    <w:rsid w:val="00301283"/>
    <w:rsid w:val="00315CC2"/>
    <w:rsid w:val="003A4584"/>
    <w:rsid w:val="003D39A7"/>
    <w:rsid w:val="0040716D"/>
    <w:rsid w:val="004C0091"/>
    <w:rsid w:val="004C1595"/>
    <w:rsid w:val="005C28C2"/>
    <w:rsid w:val="00687FE1"/>
    <w:rsid w:val="006A7671"/>
    <w:rsid w:val="007E5557"/>
    <w:rsid w:val="00883758"/>
    <w:rsid w:val="008B2FC1"/>
    <w:rsid w:val="00994DB2"/>
    <w:rsid w:val="00A52F87"/>
    <w:rsid w:val="00C33FA6"/>
    <w:rsid w:val="00C640F7"/>
    <w:rsid w:val="00C7601B"/>
    <w:rsid w:val="00C778DB"/>
    <w:rsid w:val="00D34487"/>
    <w:rsid w:val="00F10B13"/>
    <w:rsid w:val="00F864BC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50A4CBF-B8F5-41DF-AF7F-2449F2F4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VC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673B3-B950-456C-970C-55BE8E67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VC-2column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Jacklyn Foster</dc:creator>
  <cp:lastModifiedBy>Diana Jacobs</cp:lastModifiedBy>
  <cp:revision>2</cp:revision>
  <cp:lastPrinted>2015-05-07T21:08:00Z</cp:lastPrinted>
  <dcterms:created xsi:type="dcterms:W3CDTF">2015-05-13T14:04:00Z</dcterms:created>
  <dcterms:modified xsi:type="dcterms:W3CDTF">2015-05-13T14:04:00Z</dcterms:modified>
</cp:coreProperties>
</file>