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EF" w:rsidRPr="006A1FE8" w:rsidRDefault="00410FEF" w:rsidP="00410FEF">
      <w:pPr>
        <w:spacing w:line="240" w:lineRule="auto"/>
        <w:ind w:left="-1080" w:right="-720"/>
        <w:rPr>
          <w:rFonts w:eastAsia="Times New Roman" w:cs="Arial"/>
          <w:sz w:val="20"/>
          <w:szCs w:val="20"/>
        </w:rPr>
      </w:pPr>
      <w:r w:rsidRPr="006A1FE8">
        <w:rPr>
          <w:rFonts w:eastAsia="Times New Roman" w:cs="Arial"/>
          <w:color w:val="000000"/>
          <w:sz w:val="20"/>
          <w:szCs w:val="20"/>
        </w:rPr>
        <w:t>March 5, 2015</w:t>
      </w:r>
    </w:p>
    <w:p w:rsidR="00410FEF" w:rsidRPr="006A1FE8" w:rsidRDefault="00410FEF" w:rsidP="00410FEF">
      <w:pPr>
        <w:spacing w:line="240" w:lineRule="auto"/>
        <w:ind w:left="-1080" w:right="-720"/>
        <w:rPr>
          <w:rFonts w:eastAsia="Times New Roman" w:cs="Arial"/>
          <w:sz w:val="20"/>
          <w:szCs w:val="20"/>
        </w:rPr>
      </w:pPr>
    </w:p>
    <w:p w:rsidR="00410FEF" w:rsidRDefault="00410FEF" w:rsidP="00410FEF">
      <w:pPr>
        <w:spacing w:line="240" w:lineRule="auto"/>
        <w:ind w:left="-1080" w:right="-720"/>
        <w:rPr>
          <w:rFonts w:eastAsia="Times New Roman" w:cs="Arial"/>
          <w:b/>
          <w:bCs/>
          <w:color w:val="000000"/>
          <w:sz w:val="20"/>
          <w:szCs w:val="20"/>
        </w:rPr>
      </w:pPr>
      <w:r w:rsidRPr="006A1FE8">
        <w:rPr>
          <w:rFonts w:eastAsia="Times New Roman" w:cs="Arial"/>
          <w:b/>
          <w:bCs/>
          <w:color w:val="000000"/>
          <w:sz w:val="20"/>
          <w:szCs w:val="20"/>
        </w:rPr>
        <w:t>MEMORANDUM</w:t>
      </w:r>
    </w:p>
    <w:p w:rsidR="00410FEF" w:rsidRPr="006A1FE8" w:rsidRDefault="00410FEF" w:rsidP="00410FEF">
      <w:pPr>
        <w:spacing w:line="240" w:lineRule="auto"/>
        <w:ind w:left="-1080" w:right="-720"/>
        <w:rPr>
          <w:rFonts w:eastAsia="Times New Roman" w:cs="Arial"/>
          <w:b/>
          <w:bCs/>
          <w:color w:val="000000"/>
          <w:sz w:val="20"/>
          <w:szCs w:val="20"/>
        </w:rPr>
      </w:pPr>
    </w:p>
    <w:p w:rsidR="00410FEF" w:rsidRPr="006A1FE8" w:rsidRDefault="00410FEF" w:rsidP="00410FEF">
      <w:pPr>
        <w:spacing w:line="240" w:lineRule="auto"/>
        <w:ind w:left="-1080" w:right="-720"/>
        <w:rPr>
          <w:rFonts w:eastAsia="Times New Roman" w:cs="Arial"/>
          <w:sz w:val="20"/>
          <w:szCs w:val="20"/>
        </w:rPr>
      </w:pPr>
    </w:p>
    <w:p w:rsidR="00410FEF" w:rsidRPr="006A1FE8" w:rsidRDefault="00410FEF" w:rsidP="00410FEF">
      <w:pPr>
        <w:spacing w:line="240" w:lineRule="auto"/>
        <w:ind w:left="-1080" w:right="-720"/>
        <w:rPr>
          <w:rFonts w:eastAsia="Times New Roman" w:cs="Arial"/>
          <w:sz w:val="20"/>
          <w:szCs w:val="20"/>
        </w:rPr>
      </w:pPr>
      <w:r w:rsidRPr="006A1FE8">
        <w:rPr>
          <w:rFonts w:eastAsia="Times New Roman" w:cs="Arial"/>
          <w:color w:val="000000"/>
          <w:sz w:val="20"/>
          <w:szCs w:val="20"/>
        </w:rPr>
        <w:t xml:space="preserve">TO: </w:t>
      </w:r>
      <w:r w:rsidRPr="006A1FE8">
        <w:rPr>
          <w:rFonts w:eastAsia="Times New Roman" w:cs="Arial"/>
          <w:color w:val="000000"/>
          <w:sz w:val="20"/>
          <w:szCs w:val="20"/>
        </w:rPr>
        <w:tab/>
      </w:r>
      <w:r>
        <w:rPr>
          <w:rFonts w:eastAsia="Times New Roman" w:cs="Arial"/>
          <w:color w:val="000000"/>
          <w:sz w:val="20"/>
          <w:szCs w:val="20"/>
        </w:rPr>
        <w:tab/>
      </w:r>
      <w:r w:rsidRPr="006A1FE8">
        <w:rPr>
          <w:rFonts w:eastAsia="Times New Roman" w:cs="Arial"/>
          <w:color w:val="000000"/>
          <w:sz w:val="20"/>
          <w:szCs w:val="20"/>
        </w:rPr>
        <w:t>Deans, Directors, and Department Heads</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sz w:val="20"/>
          <w:szCs w:val="20"/>
        </w:rPr>
      </w:pPr>
      <w:r w:rsidRPr="006A1FE8">
        <w:rPr>
          <w:rFonts w:eastAsia="Times New Roman" w:cs="Arial"/>
          <w:color w:val="000000"/>
          <w:sz w:val="20"/>
          <w:szCs w:val="20"/>
        </w:rPr>
        <w:t>FROM:</w:t>
      </w:r>
      <w:r w:rsidRPr="006A1FE8">
        <w:rPr>
          <w:rFonts w:eastAsia="Times New Roman" w:cs="Arial"/>
          <w:color w:val="000000"/>
          <w:sz w:val="20"/>
          <w:szCs w:val="20"/>
        </w:rPr>
        <w:tab/>
      </w:r>
      <w:r>
        <w:rPr>
          <w:rFonts w:eastAsia="Times New Roman" w:cs="Arial"/>
          <w:color w:val="000000"/>
          <w:sz w:val="20"/>
          <w:szCs w:val="20"/>
        </w:rPr>
        <w:tab/>
      </w:r>
      <w:r w:rsidRPr="006A1FE8">
        <w:rPr>
          <w:rFonts w:eastAsia="Times New Roman" w:cs="Arial"/>
          <w:color w:val="000000"/>
          <w:sz w:val="20"/>
          <w:szCs w:val="20"/>
        </w:rPr>
        <w:t xml:space="preserve">Charles D. </w:t>
      </w:r>
      <w:proofErr w:type="spellStart"/>
      <w:r w:rsidRPr="006A1FE8">
        <w:rPr>
          <w:rFonts w:eastAsia="Times New Roman" w:cs="Arial"/>
          <w:color w:val="000000"/>
          <w:sz w:val="20"/>
          <w:szCs w:val="20"/>
        </w:rPr>
        <w:t>Leffler</w:t>
      </w:r>
      <w:proofErr w:type="spellEnd"/>
      <w:r w:rsidRPr="006A1FE8">
        <w:rPr>
          <w:rFonts w:eastAsia="Times New Roman" w:cs="Arial"/>
          <w:color w:val="000000"/>
          <w:sz w:val="20"/>
          <w:szCs w:val="20"/>
        </w:rPr>
        <w:t>, Vice Chancellor for Finance and Business</w:t>
      </w:r>
      <w:r w:rsidRPr="006A1FE8">
        <w:rPr>
          <w:rFonts w:eastAsia="Times New Roman" w:cs="Arial"/>
          <w:color w:val="000000"/>
          <w:sz w:val="20"/>
          <w:szCs w:val="20"/>
        </w:rPr>
        <w:br/>
      </w:r>
      <w:r w:rsidRPr="006A1FE8">
        <w:rPr>
          <w:rFonts w:eastAsia="Times New Roman" w:cs="Arial"/>
          <w:color w:val="000000"/>
          <w:sz w:val="20"/>
          <w:szCs w:val="20"/>
        </w:rPr>
        <w:tab/>
      </w:r>
      <w:r w:rsidRPr="006A1FE8">
        <w:rPr>
          <w:rFonts w:eastAsia="Times New Roman" w:cs="Arial"/>
          <w:color w:val="000000"/>
          <w:sz w:val="20"/>
          <w:szCs w:val="20"/>
        </w:rPr>
        <w:tab/>
      </w:r>
      <w:r>
        <w:rPr>
          <w:rFonts w:eastAsia="Times New Roman" w:cs="Arial"/>
          <w:color w:val="000000"/>
          <w:sz w:val="20"/>
          <w:szCs w:val="20"/>
        </w:rPr>
        <w:tab/>
      </w:r>
      <w:r w:rsidRPr="006A1FE8">
        <w:rPr>
          <w:rFonts w:eastAsia="Times New Roman" w:cs="Arial"/>
          <w:color w:val="000000"/>
          <w:sz w:val="20"/>
          <w:szCs w:val="20"/>
        </w:rPr>
        <w:t xml:space="preserve">Marc </w:t>
      </w:r>
      <w:proofErr w:type="spellStart"/>
      <w:r w:rsidRPr="006A1FE8">
        <w:rPr>
          <w:rFonts w:eastAsia="Times New Roman" w:cs="Arial"/>
          <w:color w:val="000000"/>
          <w:sz w:val="20"/>
          <w:szCs w:val="20"/>
        </w:rPr>
        <w:t>Hoit</w:t>
      </w:r>
      <w:proofErr w:type="spellEnd"/>
      <w:r w:rsidRPr="006A1FE8">
        <w:rPr>
          <w:rFonts w:eastAsia="Times New Roman" w:cs="Arial"/>
          <w:color w:val="000000"/>
          <w:sz w:val="20"/>
          <w:szCs w:val="20"/>
        </w:rPr>
        <w:t xml:space="preserve">, Vice Chancellor for Information Technology and Chief </w:t>
      </w:r>
      <w:r w:rsidRPr="006A1FE8">
        <w:rPr>
          <w:rFonts w:eastAsia="Times New Roman" w:cs="Arial"/>
          <w:color w:val="000000"/>
          <w:sz w:val="20"/>
          <w:szCs w:val="20"/>
        </w:rPr>
        <w:tab/>
      </w:r>
      <w:r w:rsidRPr="006A1FE8">
        <w:rPr>
          <w:rFonts w:eastAsia="Times New Roman" w:cs="Arial"/>
          <w:color w:val="000000"/>
          <w:sz w:val="20"/>
          <w:szCs w:val="20"/>
        </w:rPr>
        <w:tab/>
        <w:t xml:space="preserve"> </w:t>
      </w:r>
      <w:r>
        <w:rPr>
          <w:rFonts w:eastAsia="Times New Roman" w:cs="Arial"/>
          <w:color w:val="000000"/>
          <w:sz w:val="20"/>
          <w:szCs w:val="20"/>
        </w:rPr>
        <w:tab/>
      </w:r>
      <w:r w:rsidRPr="006A1FE8">
        <w:rPr>
          <w:rFonts w:eastAsia="Times New Roman" w:cs="Arial"/>
          <w:color w:val="000000"/>
          <w:sz w:val="20"/>
          <w:szCs w:val="20"/>
        </w:rPr>
        <w:t xml:space="preserve"> </w:t>
      </w:r>
      <w:r>
        <w:rPr>
          <w:rFonts w:eastAsia="Times New Roman" w:cs="Arial"/>
          <w:color w:val="000000"/>
          <w:sz w:val="20"/>
          <w:szCs w:val="20"/>
        </w:rPr>
        <w:t xml:space="preserve">  </w:t>
      </w:r>
      <w:r>
        <w:rPr>
          <w:rFonts w:eastAsia="Times New Roman" w:cs="Arial"/>
          <w:color w:val="000000"/>
          <w:sz w:val="20"/>
          <w:szCs w:val="20"/>
        </w:rPr>
        <w:tab/>
      </w:r>
      <w:r>
        <w:rPr>
          <w:rFonts w:eastAsia="Times New Roman" w:cs="Arial"/>
          <w:color w:val="000000"/>
          <w:sz w:val="20"/>
          <w:szCs w:val="20"/>
        </w:rPr>
        <w:tab/>
        <w:t xml:space="preserve">    </w:t>
      </w:r>
      <w:r w:rsidR="00B51860">
        <w:rPr>
          <w:rFonts w:eastAsia="Times New Roman" w:cs="Arial"/>
          <w:color w:val="000000"/>
          <w:sz w:val="20"/>
          <w:szCs w:val="20"/>
        </w:rPr>
        <w:tab/>
      </w:r>
      <w:r w:rsidR="00B51860">
        <w:rPr>
          <w:rFonts w:eastAsia="Times New Roman" w:cs="Arial"/>
          <w:color w:val="000000"/>
          <w:sz w:val="20"/>
          <w:szCs w:val="20"/>
        </w:rPr>
        <w:tab/>
        <w:t xml:space="preserve">   </w:t>
      </w:r>
      <w:r w:rsidRPr="006A1FE8">
        <w:rPr>
          <w:rFonts w:eastAsia="Times New Roman" w:cs="Arial"/>
          <w:color w:val="000000"/>
          <w:sz w:val="20"/>
          <w:szCs w:val="20"/>
        </w:rPr>
        <w:t>Information Officer</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sz w:val="20"/>
          <w:szCs w:val="20"/>
        </w:rPr>
      </w:pPr>
      <w:r w:rsidRPr="006A1FE8">
        <w:rPr>
          <w:rFonts w:eastAsia="Times New Roman" w:cs="Arial"/>
          <w:color w:val="000000"/>
          <w:sz w:val="20"/>
          <w:szCs w:val="20"/>
        </w:rPr>
        <w:t>SUBJECT:</w:t>
      </w:r>
      <w:r w:rsidRPr="006A1FE8">
        <w:rPr>
          <w:rFonts w:eastAsia="Times New Roman" w:cs="Arial"/>
          <w:color w:val="000000"/>
          <w:sz w:val="20"/>
          <w:szCs w:val="20"/>
        </w:rPr>
        <w:tab/>
      </w:r>
      <w:r>
        <w:rPr>
          <w:rFonts w:eastAsia="Times New Roman" w:cs="Arial"/>
          <w:color w:val="000000"/>
          <w:sz w:val="20"/>
          <w:szCs w:val="20"/>
        </w:rPr>
        <w:tab/>
      </w:r>
      <w:r w:rsidRPr="006A1FE8">
        <w:rPr>
          <w:rFonts w:eastAsia="Times New Roman" w:cs="Arial"/>
          <w:color w:val="000000"/>
          <w:sz w:val="20"/>
          <w:szCs w:val="20"/>
        </w:rPr>
        <w:t>Payment Card Industry (PCI) Compliance Requirements</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color w:val="000000"/>
          <w:sz w:val="20"/>
          <w:szCs w:val="20"/>
        </w:rPr>
      </w:pPr>
      <w:r w:rsidRPr="006A1FE8">
        <w:rPr>
          <w:rFonts w:eastAsia="Times New Roman" w:cs="Arial"/>
          <w:color w:val="000000"/>
          <w:sz w:val="20"/>
          <w:szCs w:val="20"/>
        </w:rPr>
        <w:t>PCI compliance is essential and mandatory.  The university is at risk for hundreds of thousands to millions of dollars in fines if we have a breach or a non-compliant event.  In addition to the fines, remediation of a breach or non-compliant event can be much larger than the fines depending on the number of credit cards involved.  The costs of non-compliance are substantive.</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color w:val="000000"/>
          <w:sz w:val="20"/>
          <w:szCs w:val="20"/>
        </w:rPr>
      </w:pPr>
      <w:r w:rsidRPr="006A1FE8">
        <w:rPr>
          <w:rFonts w:eastAsia="Times New Roman" w:cs="Arial"/>
          <w:color w:val="000000"/>
          <w:sz w:val="20"/>
          <w:szCs w:val="20"/>
        </w:rPr>
        <w:t>Due to this elevated risk and the new external regulated financial standards associated with accepting payment cards/credit cards, each Dean or Division Head (or their approved delegate) must positively affirm the following:</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pStyle w:val="ListParagraph"/>
        <w:numPr>
          <w:ilvl w:val="0"/>
          <w:numId w:val="1"/>
        </w:numPr>
        <w:spacing w:after="0" w:line="240" w:lineRule="auto"/>
        <w:ind w:left="-450" w:right="-720"/>
        <w:rPr>
          <w:rFonts w:eastAsia="Times New Roman"/>
          <w:color w:val="000000"/>
          <w:sz w:val="20"/>
          <w:szCs w:val="20"/>
        </w:rPr>
      </w:pPr>
      <w:r w:rsidRPr="006A1FE8">
        <w:rPr>
          <w:rFonts w:eastAsia="Times New Roman"/>
          <w:color w:val="000000"/>
          <w:sz w:val="20"/>
          <w:szCs w:val="20"/>
        </w:rPr>
        <w:t xml:space="preserve">The college’s or </w:t>
      </w:r>
      <w:proofErr w:type="gramStart"/>
      <w:r w:rsidRPr="006A1FE8">
        <w:rPr>
          <w:rFonts w:eastAsia="Times New Roman"/>
          <w:color w:val="000000"/>
          <w:sz w:val="20"/>
          <w:szCs w:val="20"/>
        </w:rPr>
        <w:t>division’s</w:t>
      </w:r>
      <w:proofErr w:type="gramEnd"/>
      <w:r w:rsidRPr="006A1FE8">
        <w:rPr>
          <w:rFonts w:eastAsia="Times New Roman"/>
          <w:color w:val="000000"/>
          <w:sz w:val="20"/>
          <w:szCs w:val="20"/>
        </w:rPr>
        <w:t xml:space="preserve"> primary owner for each merchant account.  This merchant account owner is the primary contact for that specific merchant account and is responsible for PCI compliance related to that merchant account including but not limited to completing the annual PCI SAQ (</w:t>
      </w:r>
      <w:proofErr w:type="spellStart"/>
      <w:r w:rsidRPr="006A1FE8">
        <w:rPr>
          <w:rFonts w:eastAsia="Times New Roman"/>
          <w:color w:val="000000"/>
          <w:sz w:val="20"/>
          <w:szCs w:val="20"/>
        </w:rPr>
        <w:t>self assessment</w:t>
      </w:r>
      <w:proofErr w:type="spellEnd"/>
      <w:r w:rsidRPr="006A1FE8">
        <w:rPr>
          <w:rFonts w:eastAsia="Times New Roman"/>
          <w:color w:val="000000"/>
          <w:sz w:val="20"/>
          <w:szCs w:val="20"/>
        </w:rPr>
        <w:t xml:space="preserve"> questionnaire).  Note: Colleges or divisions typically have many merchant accounts.  Each specific merchant account must have an identified owner.</w:t>
      </w:r>
    </w:p>
    <w:p w:rsidR="00410FEF" w:rsidRPr="006A1FE8" w:rsidRDefault="00410FEF" w:rsidP="00410FEF">
      <w:pPr>
        <w:pStyle w:val="ListParagraph"/>
        <w:numPr>
          <w:ilvl w:val="0"/>
          <w:numId w:val="1"/>
        </w:numPr>
        <w:spacing w:after="0" w:line="240" w:lineRule="auto"/>
        <w:ind w:left="-450" w:right="-720"/>
        <w:rPr>
          <w:rFonts w:eastAsia="Times New Roman"/>
          <w:color w:val="000000"/>
          <w:sz w:val="20"/>
          <w:szCs w:val="20"/>
        </w:rPr>
      </w:pPr>
      <w:r w:rsidRPr="006A1FE8">
        <w:rPr>
          <w:rFonts w:eastAsia="Times New Roman"/>
          <w:color w:val="000000"/>
          <w:sz w:val="20"/>
          <w:szCs w:val="20"/>
        </w:rPr>
        <w:t>Identify the business manager (normally an Assistant Dean of Finance or a similar position) who will be the key PCI leader for the college or division.  Accepting credit cards is a financial transaction just as accepting cash or checks is a financial transaction.  Transaction processing on campus is managed and led by business managers in the colleges and divisions.  The business manager identified as the key PCI leader for the college or division is responsible for and will insure that the merchant account owners are fulfilling their responsibilities.  Further, the business manager must fully understand PCI requirements and procedures.</w:t>
      </w:r>
    </w:p>
    <w:p w:rsidR="00410FEF" w:rsidRPr="006A1FE8" w:rsidRDefault="00410FEF" w:rsidP="00410FEF">
      <w:pPr>
        <w:pStyle w:val="ListParagraph"/>
        <w:numPr>
          <w:ilvl w:val="0"/>
          <w:numId w:val="1"/>
        </w:numPr>
        <w:spacing w:after="0" w:line="240" w:lineRule="auto"/>
        <w:ind w:left="-450" w:right="-720"/>
        <w:rPr>
          <w:rFonts w:eastAsia="Times New Roman"/>
          <w:color w:val="000000"/>
          <w:sz w:val="20"/>
          <w:szCs w:val="20"/>
        </w:rPr>
      </w:pPr>
      <w:r w:rsidRPr="006A1FE8">
        <w:rPr>
          <w:rFonts w:eastAsia="Times New Roman"/>
          <w:color w:val="000000"/>
          <w:sz w:val="20"/>
          <w:szCs w:val="20"/>
        </w:rPr>
        <w:t>Identify the key employee who will provide technical assistance for each merchant account at the college or division.</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color w:val="000000"/>
          <w:sz w:val="20"/>
          <w:szCs w:val="20"/>
        </w:rPr>
      </w:pPr>
      <w:r w:rsidRPr="006A1FE8">
        <w:rPr>
          <w:rFonts w:eastAsia="Times New Roman" w:cs="Arial"/>
          <w:color w:val="000000"/>
          <w:sz w:val="20"/>
          <w:szCs w:val="20"/>
        </w:rPr>
        <w:t xml:space="preserve">The University Controller’s Office will be contacting each Dean or Division Head (or their approved delegate) in the next month for the positive affirmations and or changes to the three items above as well as any other items required for PCI compliance.  A current list of active merchant accounts along with the related department, college and division contacts for each merchant account will also be provided to each Dean or Division Head by the Controller’s Office.  </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color w:val="000000"/>
          <w:sz w:val="20"/>
          <w:szCs w:val="20"/>
        </w:rPr>
      </w:pPr>
      <w:r w:rsidRPr="006A1FE8">
        <w:rPr>
          <w:rFonts w:eastAsia="Times New Roman" w:cs="Arial"/>
          <w:color w:val="000000"/>
          <w:sz w:val="20"/>
          <w:szCs w:val="20"/>
        </w:rPr>
        <w:t>All websites within the NC State set of web domains that collect payments must be authorized by the Merchant Services unit within the Controller’s Office and be in compliance of PCI standards with approval from OIT’s Security and Compliance Unit.  Further, all NC State units accepting payment cards or credit cards must be approved by the Merchant Services unit within the Controller’s Office.  Unauthorized websites or unauthorized acceptances of payment cards or credit cards are explicitly disallowed.  NC State reserves the right to take whatever action is required to assure PCI compliance including but not limited to shutting down the website, confiscation of funds, etc.</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color w:val="000000"/>
          <w:sz w:val="20"/>
          <w:szCs w:val="20"/>
        </w:rPr>
      </w:pPr>
      <w:r w:rsidRPr="006A1FE8">
        <w:rPr>
          <w:rFonts w:eastAsia="Times New Roman" w:cs="Arial"/>
          <w:color w:val="000000"/>
          <w:sz w:val="20"/>
          <w:szCs w:val="20"/>
        </w:rPr>
        <w:t>The existing Merchant Services mailing list will be expanded to include the personnel identified above by Deans or Division Heads and will be used to further disseminate payment card/credit card information to merchant account owners, technical employees working on merchant accounts, business managers responsible for PCI and any other interested stakeholders.</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color w:val="000000"/>
          <w:sz w:val="20"/>
          <w:szCs w:val="20"/>
        </w:rPr>
      </w:pPr>
      <w:r w:rsidRPr="006A1FE8">
        <w:rPr>
          <w:rFonts w:eastAsia="Times New Roman" w:cs="Arial"/>
          <w:color w:val="000000"/>
          <w:sz w:val="20"/>
          <w:szCs w:val="20"/>
        </w:rPr>
        <w:t xml:space="preserve">If you have any questions, please contact Amanda Richardson, Merchant Services Manager in the Controller’s Office, at 513-4464 or </w:t>
      </w:r>
      <w:hyperlink r:id="rId8" w:history="1">
        <w:r w:rsidRPr="006A1FE8">
          <w:rPr>
            <w:rFonts w:eastAsia="Times New Roman" w:cs="Arial"/>
            <w:color w:val="1155CC"/>
            <w:sz w:val="20"/>
            <w:szCs w:val="20"/>
            <w:u w:val="single"/>
          </w:rPr>
          <w:t>aarichar@ncsu.edu</w:t>
        </w:r>
      </w:hyperlink>
      <w:r w:rsidRPr="006A1FE8">
        <w:rPr>
          <w:rFonts w:eastAsia="Times New Roman" w:cs="Arial"/>
          <w:color w:val="000000"/>
          <w:sz w:val="20"/>
          <w:szCs w:val="20"/>
        </w:rPr>
        <w:t xml:space="preserve"> .</w:t>
      </w:r>
    </w:p>
    <w:p w:rsidR="00410FEF" w:rsidRPr="006A1FE8" w:rsidRDefault="00410FEF" w:rsidP="00410FEF">
      <w:pPr>
        <w:spacing w:line="240" w:lineRule="auto"/>
        <w:ind w:left="-1080" w:right="-720"/>
        <w:rPr>
          <w:rFonts w:eastAsia="Times New Roman" w:cs="Arial"/>
          <w:color w:val="000000"/>
          <w:sz w:val="20"/>
          <w:szCs w:val="20"/>
        </w:rPr>
      </w:pPr>
    </w:p>
    <w:p w:rsidR="00410FEF" w:rsidRPr="006A1FE8" w:rsidRDefault="00410FEF" w:rsidP="00410FEF">
      <w:pPr>
        <w:spacing w:line="240" w:lineRule="auto"/>
        <w:ind w:left="-1080" w:right="-720"/>
        <w:rPr>
          <w:rFonts w:eastAsia="Times New Roman" w:cs="Arial"/>
          <w:sz w:val="20"/>
          <w:szCs w:val="20"/>
        </w:rPr>
      </w:pPr>
      <w:r w:rsidRPr="006A1FE8">
        <w:rPr>
          <w:rFonts w:eastAsia="Times New Roman" w:cs="Arial"/>
          <w:color w:val="000000"/>
          <w:sz w:val="20"/>
          <w:szCs w:val="20"/>
        </w:rPr>
        <w:t xml:space="preserve">cc: </w:t>
      </w:r>
      <w:r w:rsidRPr="006A1FE8">
        <w:rPr>
          <w:rFonts w:eastAsia="Times New Roman" w:cs="Arial"/>
          <w:color w:val="000000"/>
          <w:sz w:val="20"/>
          <w:szCs w:val="20"/>
        </w:rPr>
        <w:tab/>
      </w:r>
      <w:r>
        <w:rPr>
          <w:rFonts w:eastAsia="Times New Roman" w:cs="Arial"/>
          <w:color w:val="000000"/>
          <w:sz w:val="20"/>
          <w:szCs w:val="20"/>
        </w:rPr>
        <w:tab/>
      </w:r>
      <w:r w:rsidRPr="006A1FE8">
        <w:rPr>
          <w:rFonts w:eastAsia="Times New Roman" w:cs="Arial"/>
          <w:color w:val="000000"/>
          <w:sz w:val="20"/>
          <w:szCs w:val="20"/>
        </w:rPr>
        <w:t xml:space="preserve">Steve </w:t>
      </w:r>
      <w:proofErr w:type="spellStart"/>
      <w:r w:rsidRPr="006A1FE8">
        <w:rPr>
          <w:rFonts w:eastAsia="Times New Roman" w:cs="Arial"/>
          <w:color w:val="000000"/>
          <w:sz w:val="20"/>
          <w:szCs w:val="20"/>
        </w:rPr>
        <w:t>Keto</w:t>
      </w:r>
      <w:proofErr w:type="spellEnd"/>
      <w:r w:rsidRPr="006A1FE8">
        <w:rPr>
          <w:rFonts w:eastAsia="Times New Roman" w:cs="Arial"/>
          <w:color w:val="000000"/>
          <w:sz w:val="20"/>
          <w:szCs w:val="20"/>
        </w:rPr>
        <w:t>, Associate Vice Chancellor for Finance and Resource Management</w:t>
      </w:r>
    </w:p>
    <w:p w:rsidR="00410FEF" w:rsidRPr="006A1FE8" w:rsidRDefault="00410FEF" w:rsidP="00410FEF">
      <w:pPr>
        <w:spacing w:line="240" w:lineRule="auto"/>
        <w:ind w:left="-1080" w:right="-720"/>
        <w:rPr>
          <w:rFonts w:eastAsia="Times New Roman" w:cs="Arial"/>
          <w:color w:val="000000"/>
          <w:sz w:val="20"/>
          <w:szCs w:val="20"/>
        </w:rPr>
      </w:pPr>
      <w:r>
        <w:rPr>
          <w:rFonts w:eastAsia="Times New Roman" w:cs="Arial"/>
          <w:color w:val="000000"/>
          <w:sz w:val="20"/>
          <w:szCs w:val="20"/>
        </w:rPr>
        <w:lastRenderedPageBreak/>
        <w:tab/>
      </w:r>
      <w:r>
        <w:rPr>
          <w:rFonts w:eastAsia="Times New Roman" w:cs="Arial"/>
          <w:color w:val="000000"/>
          <w:sz w:val="20"/>
          <w:szCs w:val="20"/>
        </w:rPr>
        <w:tab/>
      </w:r>
      <w:r w:rsidRPr="006A1FE8">
        <w:rPr>
          <w:rFonts w:eastAsia="Times New Roman" w:cs="Arial"/>
          <w:color w:val="000000"/>
          <w:sz w:val="20"/>
          <w:szCs w:val="20"/>
        </w:rPr>
        <w:t xml:space="preserve">Charles </w:t>
      </w:r>
      <w:proofErr w:type="spellStart"/>
      <w:r w:rsidRPr="006A1FE8">
        <w:rPr>
          <w:rFonts w:eastAsia="Times New Roman" w:cs="Arial"/>
          <w:color w:val="000000"/>
          <w:sz w:val="20"/>
          <w:szCs w:val="20"/>
        </w:rPr>
        <w:t>Cansler</w:t>
      </w:r>
      <w:proofErr w:type="spellEnd"/>
      <w:r w:rsidRPr="006A1FE8">
        <w:rPr>
          <w:rFonts w:eastAsia="Times New Roman" w:cs="Arial"/>
          <w:color w:val="000000"/>
          <w:sz w:val="20"/>
          <w:szCs w:val="20"/>
        </w:rPr>
        <w:t>, University Controller</w:t>
      </w:r>
    </w:p>
    <w:p w:rsidR="00410FEF" w:rsidRPr="006A1FE8" w:rsidRDefault="00410FEF" w:rsidP="00410FEF">
      <w:pPr>
        <w:spacing w:line="240" w:lineRule="auto"/>
        <w:ind w:left="-1080" w:right="-720" w:firstLine="720"/>
        <w:rPr>
          <w:rFonts w:eastAsia="Times New Roman" w:cs="Arial"/>
          <w:color w:val="000000"/>
          <w:sz w:val="20"/>
          <w:szCs w:val="20"/>
        </w:rPr>
      </w:pPr>
      <w:r>
        <w:rPr>
          <w:rFonts w:eastAsia="Times New Roman" w:cs="Arial"/>
          <w:color w:val="000000"/>
          <w:sz w:val="20"/>
          <w:szCs w:val="20"/>
        </w:rPr>
        <w:tab/>
      </w:r>
      <w:proofErr w:type="spellStart"/>
      <w:r w:rsidRPr="006A1FE8">
        <w:rPr>
          <w:rFonts w:eastAsia="Times New Roman" w:cs="Arial"/>
          <w:color w:val="000000"/>
          <w:sz w:val="20"/>
          <w:szCs w:val="20"/>
        </w:rPr>
        <w:t>Mardecia</w:t>
      </w:r>
      <w:proofErr w:type="spellEnd"/>
      <w:r w:rsidRPr="006A1FE8">
        <w:rPr>
          <w:rFonts w:eastAsia="Times New Roman" w:cs="Arial"/>
          <w:color w:val="000000"/>
          <w:sz w:val="20"/>
          <w:szCs w:val="20"/>
        </w:rPr>
        <w:t xml:space="preserve"> Bell, Director, Security and Compliance</w:t>
      </w:r>
    </w:p>
    <w:p w:rsidR="00410FEF" w:rsidRPr="006A1FE8" w:rsidRDefault="00410FEF" w:rsidP="00410FEF">
      <w:pPr>
        <w:spacing w:line="240" w:lineRule="auto"/>
        <w:ind w:left="-1080" w:right="-720" w:firstLine="720"/>
        <w:rPr>
          <w:rFonts w:eastAsia="Times New Roman" w:cs="Arial"/>
          <w:color w:val="000000"/>
          <w:sz w:val="20"/>
          <w:szCs w:val="20"/>
        </w:rPr>
      </w:pPr>
      <w:r>
        <w:rPr>
          <w:rFonts w:eastAsia="Times New Roman" w:cs="Arial"/>
          <w:color w:val="000000"/>
          <w:sz w:val="20"/>
          <w:szCs w:val="20"/>
        </w:rPr>
        <w:tab/>
      </w:r>
      <w:r w:rsidRPr="006A1FE8">
        <w:rPr>
          <w:rFonts w:eastAsia="Times New Roman" w:cs="Arial"/>
          <w:color w:val="000000"/>
          <w:sz w:val="20"/>
          <w:szCs w:val="20"/>
        </w:rPr>
        <w:t>Susan West, Director, Technology Support Services</w:t>
      </w:r>
    </w:p>
    <w:p w:rsidR="00410FEF" w:rsidRPr="006A1FE8" w:rsidRDefault="00410FEF" w:rsidP="00410FEF">
      <w:pPr>
        <w:spacing w:line="240" w:lineRule="auto"/>
        <w:ind w:left="-1080" w:right="-720" w:firstLine="720"/>
        <w:rPr>
          <w:rFonts w:eastAsia="Times New Roman" w:cs="Arial"/>
          <w:sz w:val="20"/>
          <w:szCs w:val="20"/>
        </w:rPr>
      </w:pPr>
      <w:r>
        <w:rPr>
          <w:rFonts w:eastAsia="Times New Roman" w:cs="Arial"/>
          <w:color w:val="000000"/>
          <w:sz w:val="20"/>
          <w:szCs w:val="20"/>
        </w:rPr>
        <w:tab/>
      </w:r>
      <w:r w:rsidRPr="006A1FE8">
        <w:rPr>
          <w:rFonts w:eastAsia="Times New Roman" w:cs="Arial"/>
          <w:color w:val="000000"/>
          <w:sz w:val="20"/>
          <w:szCs w:val="20"/>
        </w:rPr>
        <w:t>Campus IT Directors</w:t>
      </w:r>
    </w:p>
    <w:p w:rsidR="000615FF" w:rsidRDefault="00D568FA" w:rsidP="00410FEF">
      <w:pPr>
        <w:ind w:left="-1080" w:right="-720"/>
      </w:pPr>
    </w:p>
    <w:sectPr w:rsidR="000615FF" w:rsidSect="00D63EDD">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27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4B" w:rsidRDefault="00F7344B" w:rsidP="00F7344B">
      <w:pPr>
        <w:spacing w:line="240" w:lineRule="auto"/>
      </w:pPr>
      <w:r>
        <w:separator/>
      </w:r>
    </w:p>
  </w:endnote>
  <w:endnote w:type="continuationSeparator" w:id="0">
    <w:p w:rsidR="00F7344B" w:rsidRDefault="00F7344B" w:rsidP="00F73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4B" w:rsidRDefault="00F73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4B" w:rsidRDefault="00F73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4B" w:rsidRDefault="00F7344B">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4B" w:rsidRDefault="00F7344B" w:rsidP="00F7344B">
      <w:pPr>
        <w:spacing w:line="240" w:lineRule="auto"/>
      </w:pPr>
      <w:r>
        <w:separator/>
      </w:r>
    </w:p>
  </w:footnote>
  <w:footnote w:type="continuationSeparator" w:id="0">
    <w:p w:rsidR="00F7344B" w:rsidRDefault="00F7344B" w:rsidP="00F734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4B" w:rsidRDefault="00F73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4B" w:rsidRPr="00F7344B" w:rsidRDefault="00F7344B" w:rsidP="00D568FA">
    <w:pPr>
      <w:pStyle w:val="Header"/>
      <w:ind w:left="-1080"/>
      <w:rPr>
        <w:sz w:val="16"/>
        <w:szCs w:val="16"/>
      </w:rPr>
    </w:pPr>
    <w:r w:rsidRPr="00F7344B">
      <w:rPr>
        <w:sz w:val="16"/>
        <w:szCs w:val="16"/>
      </w:rPr>
      <w:t>Payment Card Industry (PCI) Compliance Requirements</w:t>
    </w:r>
    <w:r w:rsidRPr="00F7344B">
      <w:rPr>
        <w:sz w:val="16"/>
        <w:szCs w:val="16"/>
      </w:rPr>
      <w:br/>
      <w:t>Page 2</w:t>
    </w:r>
    <w:r w:rsidRPr="00F7344B">
      <w:rPr>
        <w:sz w:val="16"/>
        <w:szCs w:val="16"/>
      </w:rPr>
      <w:br/>
      <w:t>March 5,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4B" w:rsidRDefault="00F73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501B4"/>
    <w:multiLevelType w:val="hybridMultilevel"/>
    <w:tmpl w:val="51AA55F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EF"/>
    <w:rsid w:val="00410FEF"/>
    <w:rsid w:val="004D43D8"/>
    <w:rsid w:val="00B51860"/>
    <w:rsid w:val="00BA2E4A"/>
    <w:rsid w:val="00D568FA"/>
    <w:rsid w:val="00D63EDD"/>
    <w:rsid w:val="00F7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pus_letterhead"/>
    <w:qFormat/>
    <w:rsid w:val="00410FEF"/>
    <w:pPr>
      <w:spacing w:after="0" w:line="304" w:lineRule="exact"/>
    </w:pPr>
    <w:rPr>
      <w:rFonts w:ascii="Arial" w:eastAsiaTheme="minorEastAsia" w:hAnsi="Arial"/>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EF"/>
    <w:pPr>
      <w:spacing w:after="200" w:line="276" w:lineRule="auto"/>
      <w:ind w:left="720"/>
      <w:contextualSpacing/>
    </w:pPr>
    <w:rPr>
      <w:rFonts w:eastAsiaTheme="minorHAnsi" w:cs="Arial"/>
      <w:sz w:val="24"/>
      <w:lang w:eastAsia="en-US"/>
    </w:rPr>
  </w:style>
  <w:style w:type="paragraph" w:styleId="BalloonText">
    <w:name w:val="Balloon Text"/>
    <w:basedOn w:val="Normal"/>
    <w:link w:val="BalloonTextChar"/>
    <w:uiPriority w:val="99"/>
    <w:semiHidden/>
    <w:unhideWhenUsed/>
    <w:rsid w:val="00F734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4B"/>
    <w:rPr>
      <w:rFonts w:ascii="Tahoma" w:eastAsiaTheme="minorEastAsia" w:hAnsi="Tahoma" w:cs="Tahoma"/>
      <w:sz w:val="16"/>
      <w:szCs w:val="16"/>
      <w:lang w:eastAsia="ja-JP"/>
    </w:rPr>
  </w:style>
  <w:style w:type="paragraph" w:styleId="Header">
    <w:name w:val="header"/>
    <w:basedOn w:val="Normal"/>
    <w:link w:val="HeaderChar"/>
    <w:uiPriority w:val="99"/>
    <w:unhideWhenUsed/>
    <w:rsid w:val="00F7344B"/>
    <w:pPr>
      <w:tabs>
        <w:tab w:val="center" w:pos="4680"/>
        <w:tab w:val="right" w:pos="9360"/>
      </w:tabs>
      <w:spacing w:line="240" w:lineRule="auto"/>
    </w:pPr>
  </w:style>
  <w:style w:type="character" w:customStyle="1" w:styleId="HeaderChar">
    <w:name w:val="Header Char"/>
    <w:basedOn w:val="DefaultParagraphFont"/>
    <w:link w:val="Header"/>
    <w:uiPriority w:val="99"/>
    <w:rsid w:val="00F7344B"/>
    <w:rPr>
      <w:rFonts w:ascii="Arial" w:eastAsiaTheme="minorEastAsia" w:hAnsi="Arial"/>
      <w:sz w:val="19"/>
      <w:szCs w:val="24"/>
      <w:lang w:eastAsia="ja-JP"/>
    </w:rPr>
  </w:style>
  <w:style w:type="paragraph" w:styleId="Footer">
    <w:name w:val="footer"/>
    <w:basedOn w:val="Normal"/>
    <w:link w:val="FooterChar"/>
    <w:uiPriority w:val="99"/>
    <w:unhideWhenUsed/>
    <w:rsid w:val="00F7344B"/>
    <w:pPr>
      <w:tabs>
        <w:tab w:val="center" w:pos="4680"/>
        <w:tab w:val="right" w:pos="9360"/>
      </w:tabs>
      <w:spacing w:line="240" w:lineRule="auto"/>
    </w:pPr>
  </w:style>
  <w:style w:type="character" w:customStyle="1" w:styleId="FooterChar">
    <w:name w:val="Footer Char"/>
    <w:basedOn w:val="DefaultParagraphFont"/>
    <w:link w:val="Footer"/>
    <w:uiPriority w:val="99"/>
    <w:rsid w:val="00F7344B"/>
    <w:rPr>
      <w:rFonts w:ascii="Arial" w:eastAsiaTheme="minorEastAsia" w:hAnsi="Arial"/>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pus_letterhead"/>
    <w:qFormat/>
    <w:rsid w:val="00410FEF"/>
    <w:pPr>
      <w:spacing w:after="0" w:line="304" w:lineRule="exact"/>
    </w:pPr>
    <w:rPr>
      <w:rFonts w:ascii="Arial" w:eastAsiaTheme="minorEastAsia" w:hAnsi="Arial"/>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EF"/>
    <w:pPr>
      <w:spacing w:after="200" w:line="276" w:lineRule="auto"/>
      <w:ind w:left="720"/>
      <w:contextualSpacing/>
    </w:pPr>
    <w:rPr>
      <w:rFonts w:eastAsiaTheme="minorHAnsi" w:cs="Arial"/>
      <w:sz w:val="24"/>
      <w:lang w:eastAsia="en-US"/>
    </w:rPr>
  </w:style>
  <w:style w:type="paragraph" w:styleId="BalloonText">
    <w:name w:val="Balloon Text"/>
    <w:basedOn w:val="Normal"/>
    <w:link w:val="BalloonTextChar"/>
    <w:uiPriority w:val="99"/>
    <w:semiHidden/>
    <w:unhideWhenUsed/>
    <w:rsid w:val="00F734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4B"/>
    <w:rPr>
      <w:rFonts w:ascii="Tahoma" w:eastAsiaTheme="minorEastAsia" w:hAnsi="Tahoma" w:cs="Tahoma"/>
      <w:sz w:val="16"/>
      <w:szCs w:val="16"/>
      <w:lang w:eastAsia="ja-JP"/>
    </w:rPr>
  </w:style>
  <w:style w:type="paragraph" w:styleId="Header">
    <w:name w:val="header"/>
    <w:basedOn w:val="Normal"/>
    <w:link w:val="HeaderChar"/>
    <w:uiPriority w:val="99"/>
    <w:unhideWhenUsed/>
    <w:rsid w:val="00F7344B"/>
    <w:pPr>
      <w:tabs>
        <w:tab w:val="center" w:pos="4680"/>
        <w:tab w:val="right" w:pos="9360"/>
      </w:tabs>
      <w:spacing w:line="240" w:lineRule="auto"/>
    </w:pPr>
  </w:style>
  <w:style w:type="character" w:customStyle="1" w:styleId="HeaderChar">
    <w:name w:val="Header Char"/>
    <w:basedOn w:val="DefaultParagraphFont"/>
    <w:link w:val="Header"/>
    <w:uiPriority w:val="99"/>
    <w:rsid w:val="00F7344B"/>
    <w:rPr>
      <w:rFonts w:ascii="Arial" w:eastAsiaTheme="minorEastAsia" w:hAnsi="Arial"/>
      <w:sz w:val="19"/>
      <w:szCs w:val="24"/>
      <w:lang w:eastAsia="ja-JP"/>
    </w:rPr>
  </w:style>
  <w:style w:type="paragraph" w:styleId="Footer">
    <w:name w:val="footer"/>
    <w:basedOn w:val="Normal"/>
    <w:link w:val="FooterChar"/>
    <w:uiPriority w:val="99"/>
    <w:unhideWhenUsed/>
    <w:rsid w:val="00F7344B"/>
    <w:pPr>
      <w:tabs>
        <w:tab w:val="center" w:pos="4680"/>
        <w:tab w:val="right" w:pos="9360"/>
      </w:tabs>
      <w:spacing w:line="240" w:lineRule="auto"/>
    </w:pPr>
  </w:style>
  <w:style w:type="character" w:customStyle="1" w:styleId="FooterChar">
    <w:name w:val="Footer Char"/>
    <w:basedOn w:val="DefaultParagraphFont"/>
    <w:link w:val="Footer"/>
    <w:uiPriority w:val="99"/>
    <w:rsid w:val="00F7344B"/>
    <w:rPr>
      <w:rFonts w:ascii="Arial" w:eastAsiaTheme="minorEastAsia" w:hAnsi="Arial"/>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ichar@ncs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 Osborne</dc:creator>
  <cp:lastModifiedBy>Lisa B Osborne</cp:lastModifiedBy>
  <cp:revision>2</cp:revision>
  <cp:lastPrinted>2015-03-02T14:54:00Z</cp:lastPrinted>
  <dcterms:created xsi:type="dcterms:W3CDTF">2015-03-02T17:53:00Z</dcterms:created>
  <dcterms:modified xsi:type="dcterms:W3CDTF">2015-03-02T17:53:00Z</dcterms:modified>
</cp:coreProperties>
</file>